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00DFD">
      <w:pPr>
        <w:spacing w:line="440" w:lineRule="exact"/>
      </w:pPr>
    </w:p>
    <w:p w14:paraId="3F986AED">
      <w:pPr>
        <w:spacing w:line="440" w:lineRule="exact"/>
      </w:pPr>
    </w:p>
    <w:p w14:paraId="3DA9A224">
      <w:pPr>
        <w:spacing w:line="440" w:lineRule="exact"/>
      </w:pPr>
    </w:p>
    <w:p w14:paraId="3B23AD98">
      <w:pPr>
        <w:spacing w:line="440" w:lineRule="exact"/>
      </w:pPr>
    </w:p>
    <w:p w14:paraId="05CEEE8E">
      <w:pPr>
        <w:spacing w:line="440" w:lineRule="exact"/>
      </w:pPr>
    </w:p>
    <w:p w14:paraId="19047A2E">
      <w:pPr>
        <w:spacing w:before="156" w:beforeLines="50" w:after="156" w:afterLines="50" w:line="440" w:lineRule="exact"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实验报告</w:t>
      </w:r>
    </w:p>
    <w:p w14:paraId="4F073A8D">
      <w:pPr>
        <w:spacing w:line="440" w:lineRule="exact"/>
      </w:pPr>
    </w:p>
    <w:p w14:paraId="26AFE457">
      <w:pPr>
        <w:spacing w:line="440" w:lineRule="exact"/>
      </w:pPr>
    </w:p>
    <w:p w14:paraId="2A15FF07">
      <w:pPr>
        <w:spacing w:line="440" w:lineRule="exact"/>
      </w:pPr>
    </w:p>
    <w:p w14:paraId="54C39DDD">
      <w:pPr>
        <w:spacing w:line="440" w:lineRule="exact"/>
        <w:rPr>
          <w:rFonts w:hint="eastAsia"/>
        </w:rPr>
      </w:pPr>
    </w:p>
    <w:p w14:paraId="43CCA24B">
      <w:pPr>
        <w:spacing w:line="440" w:lineRule="exact"/>
      </w:pPr>
    </w:p>
    <w:p w14:paraId="7823BB91">
      <w:pPr>
        <w:spacing w:line="440" w:lineRule="exact"/>
      </w:pPr>
    </w:p>
    <w:p w14:paraId="55B3E994">
      <w:pPr>
        <w:spacing w:line="440" w:lineRule="exact"/>
      </w:pPr>
    </w:p>
    <w:tbl>
      <w:tblPr>
        <w:tblStyle w:val="27"/>
        <w:tblpPr w:leftFromText="180" w:rightFromText="180" w:vertAnchor="text" w:horzAnchor="page" w:tblpX="1726" w:tblpY="39"/>
        <w:tblOverlap w:val="never"/>
        <w:tblW w:w="8613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2905D27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nil"/>
              <w:bottom w:val="nil"/>
            </w:tcBorders>
            <w:noWrap w:val="0"/>
            <w:vAlign w:val="top"/>
          </w:tcPr>
          <w:p w14:paraId="0B7E4131">
            <w:pPr>
              <w:spacing w:line="440" w:lineRule="exact"/>
            </w:pPr>
            <w:r>
              <w:rPr>
                <w:b/>
                <w:bCs/>
                <w:sz w:val="36"/>
              </w:rPr>
              <w:t>项目名称：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  <w:noWrap w:val="0"/>
            <w:vAlign w:val="top"/>
          </w:tcPr>
          <w:p w14:paraId="4C11D710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细胞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凋亡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检测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（流式）</w:t>
            </w:r>
          </w:p>
        </w:tc>
      </w:tr>
    </w:tbl>
    <w:p w14:paraId="6265912D">
      <w:pPr>
        <w:spacing w:line="440" w:lineRule="exact"/>
        <w:rPr>
          <w:rFonts w:hint="eastAsia"/>
        </w:rPr>
      </w:pPr>
    </w:p>
    <w:p w14:paraId="1D5FE6FD">
      <w:pPr>
        <w:spacing w:line="240" w:lineRule="exact"/>
      </w:pPr>
    </w:p>
    <w:tbl>
      <w:tblPr>
        <w:tblStyle w:val="27"/>
        <w:tblW w:w="8613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700210C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  <w:noWrap w:val="0"/>
            <w:vAlign w:val="top"/>
          </w:tcPr>
          <w:p w14:paraId="4D8E7D9B">
            <w:pPr>
              <w:spacing w:line="440" w:lineRule="exact"/>
            </w:pPr>
            <w:r>
              <w:rPr>
                <w:b/>
                <w:bCs/>
                <w:sz w:val="36"/>
              </w:rPr>
              <w:t>委托方（甲方）：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  <w:noWrap w:val="0"/>
            <w:vAlign w:val="top"/>
          </w:tcPr>
          <w:p w14:paraId="67BC583D">
            <w:pPr>
              <w:spacing w:line="440" w:lineRule="exact"/>
              <w:jc w:val="center"/>
              <w:rPr>
                <w:rFonts w:hint="default" w:eastAsia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 </w:t>
            </w:r>
          </w:p>
        </w:tc>
      </w:tr>
    </w:tbl>
    <w:p w14:paraId="2E635B86">
      <w:pPr>
        <w:spacing w:line="240" w:lineRule="exact"/>
      </w:pPr>
    </w:p>
    <w:tbl>
      <w:tblPr>
        <w:tblStyle w:val="27"/>
        <w:tblW w:w="8613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01B1619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  <w:noWrap w:val="0"/>
            <w:vAlign w:val="top"/>
          </w:tcPr>
          <w:p w14:paraId="2DF4EF83">
            <w:pPr>
              <w:spacing w:line="440" w:lineRule="exact"/>
            </w:pPr>
            <w:r>
              <w:rPr>
                <w:b/>
                <w:bCs/>
                <w:sz w:val="36"/>
              </w:rPr>
              <w:t>联系</w:t>
            </w:r>
            <w:r>
              <w:rPr>
                <w:rFonts w:hint="eastAsia"/>
                <w:b/>
                <w:bCs/>
                <w:sz w:val="36"/>
              </w:rPr>
              <w:t>人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  <w:noWrap w:val="0"/>
            <w:vAlign w:val="top"/>
          </w:tcPr>
          <w:p w14:paraId="7D4F9F90">
            <w:pPr>
              <w:spacing w:line="440" w:lineRule="exact"/>
              <w:jc w:val="center"/>
              <w:rPr>
                <w:rFonts w:hint="default" w:eastAsia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36"/>
                <w:szCs w:val="36"/>
                <w:lang w:val="en-US" w:eastAsia="zh-CN"/>
              </w:rPr>
              <w:t xml:space="preserve"> </w:t>
            </w:r>
          </w:p>
        </w:tc>
      </w:tr>
    </w:tbl>
    <w:p w14:paraId="0D0A0A6C">
      <w:pPr>
        <w:spacing w:line="240" w:lineRule="exact"/>
      </w:pPr>
    </w:p>
    <w:tbl>
      <w:tblPr>
        <w:tblStyle w:val="27"/>
        <w:tblW w:w="8649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1"/>
        <w:gridCol w:w="5918"/>
      </w:tblGrid>
      <w:tr w14:paraId="519CF58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nil"/>
              <w:bottom w:val="nil"/>
            </w:tcBorders>
            <w:noWrap w:val="0"/>
            <w:vAlign w:val="top"/>
          </w:tcPr>
          <w:p w14:paraId="36D06C4C">
            <w:pPr>
              <w:spacing w:line="440" w:lineRule="exact"/>
            </w:pPr>
            <w:r>
              <w:rPr>
                <w:b/>
                <w:bCs/>
                <w:sz w:val="36"/>
              </w:rPr>
              <w:t>受托方（乙方）：</w:t>
            </w:r>
          </w:p>
        </w:tc>
        <w:tc>
          <w:tcPr>
            <w:tcW w:w="5918" w:type="dxa"/>
            <w:tcBorders>
              <w:top w:val="nil"/>
              <w:bottom w:val="single" w:color="auto" w:sz="12" w:space="0"/>
            </w:tcBorders>
            <w:noWrap w:val="0"/>
            <w:vAlign w:val="top"/>
          </w:tcPr>
          <w:p w14:paraId="6267FBBA">
            <w:pPr>
              <w:spacing w:line="440" w:lineRule="exact"/>
              <w:rPr>
                <w:rFonts w:hint="default" w:eastAsia="宋体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 </w:t>
            </w:r>
          </w:p>
        </w:tc>
      </w:tr>
    </w:tbl>
    <w:p w14:paraId="261F4FED">
      <w:pPr>
        <w:spacing w:line="240" w:lineRule="exact"/>
      </w:pPr>
    </w:p>
    <w:tbl>
      <w:tblPr>
        <w:tblStyle w:val="27"/>
        <w:tblW w:w="8613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6061498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  <w:noWrap w:val="0"/>
            <w:vAlign w:val="top"/>
          </w:tcPr>
          <w:p w14:paraId="7B7FD848">
            <w:pPr>
              <w:spacing w:line="440" w:lineRule="exact"/>
            </w:pPr>
            <w:r>
              <w:rPr>
                <w:b/>
                <w:bCs/>
                <w:sz w:val="36"/>
              </w:rPr>
              <w:t>联系</w:t>
            </w:r>
            <w:r>
              <w:rPr>
                <w:rFonts w:hint="eastAsia"/>
                <w:b/>
                <w:bCs/>
                <w:sz w:val="36"/>
              </w:rPr>
              <w:t>人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  <w:noWrap w:val="0"/>
            <w:vAlign w:val="top"/>
          </w:tcPr>
          <w:p w14:paraId="73826BF4">
            <w:pPr>
              <w:spacing w:line="440" w:lineRule="exact"/>
              <w:jc w:val="center"/>
              <w:rPr>
                <w:rFonts w:hint="default" w:eastAsia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 </w:t>
            </w:r>
          </w:p>
        </w:tc>
      </w:tr>
    </w:tbl>
    <w:p w14:paraId="33509A33">
      <w:pPr>
        <w:spacing w:line="120" w:lineRule="exact"/>
      </w:pPr>
    </w:p>
    <w:p w14:paraId="1C04E614">
      <w:pPr>
        <w:spacing w:line="20" w:lineRule="exact"/>
      </w:pPr>
    </w:p>
    <w:p w14:paraId="3AFD28DE">
      <w:pPr>
        <w:spacing w:line="20" w:lineRule="exact"/>
      </w:pPr>
    </w:p>
    <w:p w14:paraId="5D2E7D73">
      <w:pPr>
        <w:spacing w:line="20" w:lineRule="exact"/>
      </w:pPr>
    </w:p>
    <w:tbl>
      <w:tblPr>
        <w:tblStyle w:val="27"/>
        <w:tblpPr w:leftFromText="180" w:rightFromText="180" w:vertAnchor="text" w:horzAnchor="page" w:tblpX="1754" w:tblpY="73"/>
        <w:tblOverlap w:val="never"/>
        <w:tblW w:w="8613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2E406DC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nil"/>
              <w:bottom w:val="nil"/>
            </w:tcBorders>
            <w:noWrap w:val="0"/>
            <w:vAlign w:val="top"/>
          </w:tcPr>
          <w:p w14:paraId="0A152BEE">
            <w:pPr>
              <w:spacing w:line="440" w:lineRule="exact"/>
            </w:pPr>
            <w:r>
              <w:rPr>
                <w:rFonts w:hint="eastAsia"/>
                <w:b/>
                <w:bCs/>
                <w:sz w:val="36"/>
                <w:lang w:val="en-US" w:eastAsia="zh-CN"/>
              </w:rPr>
              <w:t>日期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  <w:noWrap w:val="0"/>
            <w:vAlign w:val="top"/>
          </w:tcPr>
          <w:p w14:paraId="743F67CF">
            <w:pPr>
              <w:spacing w:line="440" w:lineRule="exact"/>
              <w:jc w:val="center"/>
              <w:rPr>
                <w:rFonts w:hint="default" w:eastAsia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年   月   日</w:t>
            </w:r>
          </w:p>
        </w:tc>
      </w:tr>
    </w:tbl>
    <w:p w14:paraId="29E46138">
      <w:pPr>
        <w:spacing w:line="440" w:lineRule="exact"/>
      </w:pPr>
    </w:p>
    <w:p w14:paraId="25FED0C7">
      <w:pPr>
        <w:spacing w:line="440" w:lineRule="exact"/>
      </w:pPr>
    </w:p>
    <w:p w14:paraId="27077ACC">
      <w:pPr>
        <w:spacing w:line="440" w:lineRule="exact"/>
      </w:pPr>
    </w:p>
    <w:p w14:paraId="76FD7164">
      <w:pPr>
        <w:spacing w:line="440" w:lineRule="exact"/>
        <w:sectPr>
          <w:headerReference r:id="rId3" w:type="default"/>
          <w:footerReference r:id="rId4" w:type="default"/>
          <w:type w:val="continuous"/>
          <w:pgSz w:w="11906" w:h="16838"/>
          <w:pgMar w:top="1440" w:right="1080" w:bottom="1440" w:left="1080" w:header="851" w:footer="992" w:gutter="0"/>
          <w:pgBorders>
            <w:top w:val="none" w:sz="0" w:space="0"/>
            <w:left w:val="none" w:sz="0" w:space="0"/>
            <w:bottom w:val="single" w:color="auto" w:sz="4" w:space="1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p w14:paraId="6A0EF5E2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 w:cs="Times New Roman"/>
          <w:sz w:val="24"/>
          <w:szCs w:val="24"/>
        </w:rPr>
      </w:pPr>
      <w:bookmarkStart w:id="0" w:name="_Toc474067460"/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实验</w:t>
      </w:r>
      <w:r>
        <w:rPr>
          <w:rFonts w:ascii="Times New Roman" w:hAnsi="Times New Roman" w:cs="Times New Roman"/>
          <w:sz w:val="24"/>
          <w:szCs w:val="24"/>
        </w:rPr>
        <w:t>信息</w:t>
      </w:r>
      <w:bookmarkEnd w:id="0"/>
    </w:p>
    <w:p w14:paraId="73B81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见实验方案</w:t>
      </w:r>
    </w:p>
    <w:p w14:paraId="305A2B5C">
      <w:pPr>
        <w:pStyle w:val="2"/>
        <w:spacing w:before="156" w:beforeLines="50" w:beforeAutospacing="0" w:after="156" w:afterLines="50" w:afterAutospacing="0" w:line="420" w:lineRule="exact"/>
        <w:rPr>
          <w:rFonts w:hint="default" w:ascii="Times New Roman" w:hAnsi="Times New Roman" w:eastAsia="宋体" w:cs="Times New Roman"/>
          <w:b w:val="0"/>
          <w:sz w:val="24"/>
          <w:szCs w:val="24"/>
          <w:lang w:val="en-US" w:eastAsia="zh-CN"/>
        </w:rPr>
      </w:pPr>
      <w:bookmarkStart w:id="1" w:name="_Toc474067461"/>
      <w:r>
        <w:rPr>
          <w:rFonts w:ascii="Times New Roman" w:hAnsi="Times New Roman" w:cs="Times New Roman"/>
          <w:sz w:val="24"/>
          <w:szCs w:val="24"/>
        </w:rPr>
        <w:t xml:space="preserve">2 </w:t>
      </w:r>
      <w:bookmarkEnd w:id="1"/>
      <w:r>
        <w:rPr>
          <w:rFonts w:hint="eastAsia" w:ascii="Times New Roman" w:hAnsi="Times New Roman" w:cs="Times New Roman"/>
          <w:sz w:val="24"/>
          <w:szCs w:val="24"/>
        </w:rPr>
        <w:t>仪器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cs="Times New Roman"/>
          <w:sz w:val="24"/>
          <w:szCs w:val="24"/>
        </w:rPr>
        <w:t>试剂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及实验细胞系</w:t>
      </w:r>
    </w:p>
    <w:p w14:paraId="6E6C8B8C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bookmarkStart w:id="2" w:name="_Toc474067463"/>
      <w:r>
        <w:rPr>
          <w:rFonts w:ascii="Times New Roman" w:hAnsi="Times New Roman"/>
          <w:sz w:val="24"/>
          <w:szCs w:val="24"/>
        </w:rPr>
        <w:t xml:space="preserve">2.1 </w:t>
      </w:r>
      <w:r>
        <w:rPr>
          <w:rFonts w:hint="eastAsia" w:ascii="Times New Roman" w:hAnsi="Times New Roman"/>
          <w:sz w:val="24"/>
          <w:szCs w:val="24"/>
        </w:rPr>
        <w:t>主要</w:t>
      </w:r>
      <w:r>
        <w:rPr>
          <w:rFonts w:ascii="Times New Roman" w:hAnsi="Times New Roman"/>
          <w:sz w:val="24"/>
          <w:szCs w:val="24"/>
        </w:rPr>
        <w:t>仪器</w:t>
      </w:r>
      <w:bookmarkEnd w:id="2"/>
    </w:p>
    <w:p w14:paraId="64A4BC6F">
      <w:pPr>
        <w:spacing w:after="156" w:afterLines="50"/>
        <w:jc w:val="center"/>
      </w:pPr>
      <w:r>
        <w:rPr>
          <w:b/>
          <w:bCs/>
        </w:rPr>
        <w:t>表1</w:t>
      </w:r>
      <w:r>
        <w:t xml:space="preserve"> </w:t>
      </w:r>
      <w:r>
        <w:rPr>
          <w:rFonts w:hint="eastAsia"/>
        </w:rPr>
        <w:t>实验</w:t>
      </w:r>
      <w:r>
        <w:t>所用</w:t>
      </w:r>
      <w:r>
        <w:rPr>
          <w:rFonts w:hint="eastAsia"/>
        </w:rPr>
        <w:t>主要仪器</w:t>
      </w:r>
    </w:p>
    <w:tbl>
      <w:tblPr>
        <w:tblStyle w:val="27"/>
        <w:tblW w:w="9497" w:type="dxa"/>
        <w:tblInd w:w="25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3402"/>
        <w:gridCol w:w="2409"/>
      </w:tblGrid>
      <w:tr w14:paraId="6685EBC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top"/>
          </w:tcPr>
          <w:p w14:paraId="1C103ED2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名称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top"/>
          </w:tcPr>
          <w:p w14:paraId="6F681AD5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型号</w:t>
            </w:r>
          </w:p>
        </w:tc>
        <w:tc>
          <w:tcPr>
            <w:tcW w:w="2409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top"/>
          </w:tcPr>
          <w:p w14:paraId="4485D7CF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生产商</w:t>
            </w:r>
          </w:p>
        </w:tc>
      </w:tr>
      <w:tr w14:paraId="60E2534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6197274A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二氧化碳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培养箱</w:t>
            </w:r>
          </w:p>
        </w:tc>
        <w:tc>
          <w:tcPr>
            <w:tcW w:w="3402" w:type="dxa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3C025CAC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3111</w:t>
            </w:r>
          </w:p>
        </w:tc>
        <w:tc>
          <w:tcPr>
            <w:tcW w:w="2409" w:type="dxa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4181D12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Thermo</w:t>
            </w:r>
          </w:p>
        </w:tc>
      </w:tr>
      <w:tr w14:paraId="29B8CC3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  <w:noWrap w:val="0"/>
            <w:vAlign w:val="top"/>
          </w:tcPr>
          <w:p w14:paraId="127152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全自动细胞计数仪</w:t>
            </w:r>
          </w:p>
        </w:tc>
        <w:tc>
          <w:tcPr>
            <w:tcW w:w="3402" w:type="dxa"/>
            <w:tcBorders>
              <w:top w:val="nil"/>
              <w:bottom w:val="nil"/>
            </w:tcBorders>
            <w:noWrap w:val="0"/>
            <w:vAlign w:val="center"/>
          </w:tcPr>
          <w:p w14:paraId="7B8D253F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Countess II</w:t>
            </w:r>
          </w:p>
        </w:tc>
        <w:tc>
          <w:tcPr>
            <w:tcW w:w="2409" w:type="dxa"/>
            <w:tcBorders>
              <w:top w:val="nil"/>
              <w:bottom w:val="nil"/>
            </w:tcBorders>
            <w:noWrap w:val="0"/>
            <w:vAlign w:val="center"/>
          </w:tcPr>
          <w:p w14:paraId="7CDDAE9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Thermo</w:t>
            </w:r>
          </w:p>
        </w:tc>
      </w:tr>
      <w:tr w14:paraId="599768D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  <w:noWrap w:val="0"/>
            <w:vAlign w:val="top"/>
          </w:tcPr>
          <w:p w14:paraId="7A1B4B94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荧光倒置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显微镜</w:t>
            </w:r>
          </w:p>
        </w:tc>
        <w:tc>
          <w:tcPr>
            <w:tcW w:w="3402" w:type="dxa"/>
            <w:tcBorders>
              <w:top w:val="nil"/>
              <w:bottom w:val="nil"/>
            </w:tcBorders>
            <w:noWrap w:val="0"/>
            <w:vAlign w:val="center"/>
          </w:tcPr>
          <w:p w14:paraId="148C26CC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Ts2R-F</w:t>
            </w:r>
            <w:bookmarkStart w:id="7" w:name="_GoBack"/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L</w:t>
            </w:r>
            <w:bookmarkEnd w:id="7"/>
          </w:p>
        </w:tc>
        <w:tc>
          <w:tcPr>
            <w:tcW w:w="2409" w:type="dxa"/>
            <w:tcBorders>
              <w:top w:val="nil"/>
              <w:bottom w:val="nil"/>
            </w:tcBorders>
            <w:noWrap w:val="0"/>
            <w:vAlign w:val="center"/>
          </w:tcPr>
          <w:p w14:paraId="4122B42E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NIKON</w:t>
            </w:r>
          </w:p>
        </w:tc>
      </w:tr>
      <w:tr w14:paraId="6C5371B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  <w:noWrap w:val="0"/>
            <w:vAlign w:val="top"/>
          </w:tcPr>
          <w:p w14:paraId="528386D5">
            <w:pPr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成像系统</w:t>
            </w:r>
          </w:p>
        </w:tc>
        <w:tc>
          <w:tcPr>
            <w:tcW w:w="3402" w:type="dxa"/>
            <w:tcBorders>
              <w:top w:val="nil"/>
              <w:bottom w:val="nil"/>
            </w:tcBorders>
            <w:noWrap w:val="0"/>
            <w:vAlign w:val="center"/>
          </w:tcPr>
          <w:p w14:paraId="52B5E07C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 w:bidi="ar"/>
              </w:rPr>
              <w:t>DP73</w:t>
            </w:r>
          </w:p>
        </w:tc>
        <w:tc>
          <w:tcPr>
            <w:tcW w:w="2409" w:type="dxa"/>
            <w:tcBorders>
              <w:top w:val="nil"/>
              <w:bottom w:val="nil"/>
            </w:tcBorders>
            <w:noWrap w:val="0"/>
            <w:vAlign w:val="center"/>
          </w:tcPr>
          <w:p w14:paraId="17DDB45F">
            <w:pPr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OLYMPUS</w:t>
            </w:r>
          </w:p>
        </w:tc>
      </w:tr>
      <w:tr w14:paraId="1356747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  <w:noWrap w:val="0"/>
            <w:vAlign w:val="top"/>
          </w:tcPr>
          <w:p w14:paraId="41CFC7A3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低速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离心机</w:t>
            </w:r>
          </w:p>
        </w:tc>
        <w:tc>
          <w:tcPr>
            <w:tcW w:w="3402" w:type="dxa"/>
            <w:tcBorders>
              <w:top w:val="nil"/>
              <w:bottom w:val="nil"/>
            </w:tcBorders>
            <w:noWrap w:val="0"/>
            <w:vAlign w:val="center"/>
          </w:tcPr>
          <w:p w14:paraId="0B7727B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TD5</w:t>
            </w:r>
          </w:p>
        </w:tc>
        <w:tc>
          <w:tcPr>
            <w:tcW w:w="2409" w:type="dxa"/>
            <w:tcBorders>
              <w:top w:val="nil"/>
              <w:bottom w:val="nil"/>
            </w:tcBorders>
            <w:noWrap w:val="0"/>
            <w:vAlign w:val="center"/>
          </w:tcPr>
          <w:p w14:paraId="7EA9C4F6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卢湘仪</w:t>
            </w:r>
          </w:p>
        </w:tc>
      </w:tr>
      <w:tr w14:paraId="7820760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  <w:noWrap w:val="0"/>
            <w:vAlign w:val="top"/>
          </w:tcPr>
          <w:p w14:paraId="57218EE9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真空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吸液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泵</w:t>
            </w:r>
          </w:p>
        </w:tc>
        <w:tc>
          <w:tcPr>
            <w:tcW w:w="3402" w:type="dxa"/>
            <w:tcBorders>
              <w:top w:val="nil"/>
              <w:bottom w:val="nil"/>
            </w:tcBorders>
            <w:noWrap w:val="0"/>
            <w:vAlign w:val="center"/>
          </w:tcPr>
          <w:p w14:paraId="6CF416C2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G6-802B</w:t>
            </w:r>
          </w:p>
        </w:tc>
        <w:tc>
          <w:tcPr>
            <w:tcW w:w="2409" w:type="dxa"/>
            <w:tcBorders>
              <w:top w:val="nil"/>
              <w:bottom w:val="nil"/>
            </w:tcBorders>
            <w:noWrap w:val="0"/>
            <w:vAlign w:val="center"/>
          </w:tcPr>
          <w:p w14:paraId="65C629F9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其林贝尔</w:t>
            </w:r>
          </w:p>
        </w:tc>
      </w:tr>
      <w:tr w14:paraId="6CCBA31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  <w:noWrap w:val="0"/>
            <w:vAlign w:val="top"/>
          </w:tcPr>
          <w:p w14:paraId="547DE1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A2 型二级生物安全柜</w:t>
            </w:r>
          </w:p>
        </w:tc>
        <w:tc>
          <w:tcPr>
            <w:tcW w:w="3402" w:type="dxa"/>
            <w:tcBorders>
              <w:top w:val="nil"/>
              <w:bottom w:val="nil"/>
            </w:tcBorders>
            <w:noWrap w:val="0"/>
            <w:vAlign w:val="center"/>
          </w:tcPr>
          <w:p w14:paraId="3B62CEE3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1800A2</w:t>
            </w:r>
          </w:p>
        </w:tc>
        <w:tc>
          <w:tcPr>
            <w:tcW w:w="2409" w:type="dxa"/>
            <w:tcBorders>
              <w:top w:val="nil"/>
              <w:bottom w:val="nil"/>
            </w:tcBorders>
            <w:noWrap w:val="0"/>
            <w:vAlign w:val="center"/>
          </w:tcPr>
          <w:p w14:paraId="386C7C1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上海知楚</w:t>
            </w:r>
          </w:p>
        </w:tc>
      </w:tr>
      <w:tr w14:paraId="068597B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single" w:color="auto" w:sz="12" w:space="0"/>
            </w:tcBorders>
            <w:noWrap w:val="0"/>
            <w:vAlign w:val="top"/>
          </w:tcPr>
          <w:p w14:paraId="1A7734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bookmarkStart w:id="3" w:name="_Toc474067462"/>
            <w:r>
              <w:rPr>
                <w:rFonts w:hint="eastAsia"/>
                <w:color w:val="000000"/>
                <w:kern w:val="0"/>
                <w:szCs w:val="21"/>
                <w:lang w:val="en-US" w:eastAsia="zh-CN" w:bidi="ar"/>
              </w:rPr>
              <w:t>流式细胞仪</w:t>
            </w:r>
          </w:p>
        </w:tc>
        <w:tc>
          <w:tcPr>
            <w:tcW w:w="3402" w:type="dxa"/>
            <w:tcBorders>
              <w:top w:val="nil"/>
              <w:bottom w:val="single" w:color="auto" w:sz="12" w:space="0"/>
            </w:tcBorders>
            <w:noWrap w:val="0"/>
            <w:vAlign w:val="top"/>
          </w:tcPr>
          <w:p w14:paraId="123E99E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ACEA NovoCyte</w:t>
            </w:r>
          </w:p>
        </w:tc>
        <w:tc>
          <w:tcPr>
            <w:tcW w:w="2409" w:type="dxa"/>
            <w:tcBorders>
              <w:top w:val="nil"/>
              <w:bottom w:val="single" w:color="auto" w:sz="12" w:space="0"/>
            </w:tcBorders>
            <w:noWrap w:val="0"/>
            <w:vAlign w:val="top"/>
          </w:tcPr>
          <w:p w14:paraId="086C72B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 w:bidi="ar"/>
              </w:rPr>
              <w:t>安捷伦</w:t>
            </w:r>
          </w:p>
        </w:tc>
      </w:tr>
    </w:tbl>
    <w:p w14:paraId="0C61E98B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 </w:t>
      </w:r>
      <w:r>
        <w:rPr>
          <w:rFonts w:hint="eastAsia" w:ascii="Times New Roman" w:hAnsi="Times New Roman"/>
          <w:sz w:val="24"/>
          <w:szCs w:val="24"/>
        </w:rPr>
        <w:t>主要</w:t>
      </w:r>
      <w:r>
        <w:rPr>
          <w:rFonts w:ascii="Times New Roman" w:hAnsi="Times New Roman"/>
          <w:sz w:val="24"/>
          <w:szCs w:val="24"/>
        </w:rPr>
        <w:t>试剂</w:t>
      </w:r>
      <w:bookmarkEnd w:id="3"/>
    </w:p>
    <w:p w14:paraId="28A8DDFD">
      <w:pPr>
        <w:spacing w:after="156" w:afterLines="50"/>
        <w:jc w:val="center"/>
      </w:pPr>
      <w:r>
        <w:rPr>
          <w:b/>
          <w:bCs/>
        </w:rPr>
        <w:t>表2</w:t>
      </w:r>
      <w:r>
        <w:t xml:space="preserve"> </w:t>
      </w:r>
      <w:r>
        <w:rPr>
          <w:rFonts w:hint="eastAsia"/>
        </w:rPr>
        <w:t>实验</w:t>
      </w:r>
      <w:r>
        <w:t>所用</w:t>
      </w:r>
      <w:r>
        <w:rPr>
          <w:rFonts w:hint="eastAsia"/>
        </w:rPr>
        <w:t>主要</w:t>
      </w:r>
      <w:r>
        <w:t>试剂</w:t>
      </w:r>
    </w:p>
    <w:tbl>
      <w:tblPr>
        <w:tblStyle w:val="27"/>
        <w:tblW w:w="9406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1"/>
        <w:gridCol w:w="2878"/>
        <w:gridCol w:w="2027"/>
      </w:tblGrid>
      <w:tr w14:paraId="69EE92B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noWrap w:val="0"/>
            <w:vAlign w:val="top"/>
          </w:tcPr>
          <w:p w14:paraId="170BCA18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名称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noWrap w:val="0"/>
            <w:vAlign w:val="top"/>
          </w:tcPr>
          <w:p w14:paraId="43A73CB6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货号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noWrap w:val="0"/>
            <w:vAlign w:val="top"/>
          </w:tcPr>
          <w:p w14:paraId="5E595726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生产商</w:t>
            </w:r>
          </w:p>
        </w:tc>
      </w:tr>
      <w:tr w14:paraId="46F6130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noWrap w:val="0"/>
            <w:vAlign w:val="top"/>
          </w:tcPr>
          <w:p w14:paraId="768E8605">
            <w:pPr>
              <w:widowControl/>
              <w:jc w:val="center"/>
              <w:textAlignment w:val="center"/>
              <w:rPr>
                <w:rFonts w:hint="default" w:eastAsia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MEM（含NEAA）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noWrap w:val="0"/>
            <w:vAlign w:val="top"/>
          </w:tcPr>
          <w:p w14:paraId="56426630">
            <w:pPr>
              <w:widowControl/>
              <w:jc w:val="center"/>
              <w:textAlignment w:val="center"/>
              <w:rPr>
                <w:rFonts w:hint="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  <w:t>PM-150410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noWrap w:val="0"/>
            <w:vAlign w:val="top"/>
          </w:tcPr>
          <w:p w14:paraId="1A297B80">
            <w:pPr>
              <w:widowControl/>
              <w:jc w:val="center"/>
              <w:textAlignment w:val="center"/>
              <w:rPr>
                <w:rFonts w:hint="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  <w:t>普诺赛</w:t>
            </w:r>
          </w:p>
        </w:tc>
      </w:tr>
      <w:tr w14:paraId="3213BC4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noWrap w:val="0"/>
            <w:vAlign w:val="center"/>
          </w:tcPr>
          <w:p w14:paraId="212A76F4">
            <w:pPr>
              <w:widowControl/>
              <w:jc w:val="center"/>
              <w:textAlignment w:val="center"/>
              <w:rPr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0.25％Trypsin Solution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noWrap w:val="0"/>
            <w:vAlign w:val="center"/>
          </w:tcPr>
          <w:p w14:paraId="482F6187">
            <w:pPr>
              <w:widowControl/>
              <w:jc w:val="center"/>
              <w:textAlignment w:val="center"/>
              <w:rPr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SH30042.01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noWrap w:val="0"/>
            <w:vAlign w:val="center"/>
          </w:tcPr>
          <w:p w14:paraId="71839C8C">
            <w:pPr>
              <w:widowControl/>
              <w:jc w:val="center"/>
              <w:textAlignment w:val="center"/>
              <w:rPr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HyClone</w:t>
            </w:r>
          </w:p>
        </w:tc>
      </w:tr>
      <w:tr w14:paraId="03FEFF3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noWrap w:val="0"/>
            <w:vAlign w:val="center"/>
          </w:tcPr>
          <w:p w14:paraId="0294DEA1">
            <w:pPr>
              <w:widowControl/>
              <w:jc w:val="center"/>
              <w:textAlignment w:val="center"/>
              <w:rPr>
                <w:rFonts w:hint="default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Penicillin-Streptomycin Solution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noWrap w:val="0"/>
            <w:vAlign w:val="center"/>
          </w:tcPr>
          <w:p w14:paraId="72D40EC3">
            <w:pPr>
              <w:widowControl/>
              <w:jc w:val="center"/>
              <w:textAlignment w:val="center"/>
              <w:rPr>
                <w:rFonts w:hint="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SV30010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noWrap w:val="0"/>
            <w:vAlign w:val="center"/>
          </w:tcPr>
          <w:p w14:paraId="095DDA45">
            <w:pPr>
              <w:widowControl/>
              <w:jc w:val="center"/>
              <w:textAlignment w:val="center"/>
              <w:rPr>
                <w:rFonts w:hint="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HyClone</w:t>
            </w:r>
          </w:p>
        </w:tc>
      </w:tr>
      <w:tr w14:paraId="253D742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noWrap w:val="0"/>
            <w:vAlign w:val="center"/>
          </w:tcPr>
          <w:p w14:paraId="0FFAA6D8">
            <w:pPr>
              <w:widowControl/>
              <w:jc w:val="center"/>
              <w:textAlignment w:val="center"/>
              <w:rPr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二甲基亚砜（DMSO）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noWrap w:val="0"/>
            <w:vAlign w:val="center"/>
          </w:tcPr>
          <w:p w14:paraId="6FFD9BF5">
            <w:pPr>
              <w:widowControl/>
              <w:jc w:val="center"/>
              <w:textAlignment w:val="center"/>
              <w:rPr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D8371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noWrap w:val="0"/>
            <w:vAlign w:val="center"/>
          </w:tcPr>
          <w:p w14:paraId="25FFC9FF">
            <w:pPr>
              <w:widowControl/>
              <w:jc w:val="center"/>
              <w:textAlignment w:val="center"/>
              <w:rPr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Solarbio</w:t>
            </w:r>
          </w:p>
        </w:tc>
      </w:tr>
      <w:tr w14:paraId="4485AD7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noWrap w:val="0"/>
            <w:vAlign w:val="center"/>
          </w:tcPr>
          <w:p w14:paraId="6B436800">
            <w:pPr>
              <w:widowControl/>
              <w:jc w:val="center"/>
              <w:textAlignment w:val="center"/>
              <w:rPr>
                <w:rFonts w:hint="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  <w:t>胎牛血清（</w:t>
            </w:r>
            <w:r>
              <w:rPr>
                <w:bCs/>
                <w:color w:val="000000"/>
                <w:kern w:val="0"/>
                <w:szCs w:val="21"/>
                <w:lang w:bidi="ar"/>
              </w:rPr>
              <w:t>FBS</w:t>
            </w:r>
            <w:r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  <w:t>）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noWrap w:val="0"/>
            <w:vAlign w:val="center"/>
          </w:tcPr>
          <w:p w14:paraId="438C5B08">
            <w:pPr>
              <w:widowControl/>
              <w:jc w:val="center"/>
              <w:textAlignment w:val="center"/>
              <w:rPr>
                <w:rFonts w:hint="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10091148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noWrap w:val="0"/>
            <w:vAlign w:val="center"/>
          </w:tcPr>
          <w:p w14:paraId="58E8B204">
            <w:pPr>
              <w:widowControl/>
              <w:jc w:val="center"/>
              <w:textAlignment w:val="center"/>
              <w:rPr>
                <w:rFonts w:hint="eastAsia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Gibco</w:t>
            </w:r>
          </w:p>
        </w:tc>
      </w:tr>
      <w:tr w14:paraId="3103CE0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noWrap w:val="0"/>
            <w:vAlign w:val="top"/>
          </w:tcPr>
          <w:p w14:paraId="20C6E914">
            <w:pPr>
              <w:jc w:val="center"/>
              <w:rPr>
                <w:rFonts w:hint="eastAsia" w:eastAsia="宋体"/>
                <w:lang w:val="en-US" w:eastAsia="zh-CN"/>
              </w:rPr>
            </w:pPr>
            <w:bookmarkStart w:id="4" w:name="_Toc474067477"/>
            <w:r>
              <w:rPr>
                <w:rFonts w:hint="eastAsia"/>
              </w:rPr>
              <w:t>细胞凋亡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Annexin V-FITC-PI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检测试剂盒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noWrap w:val="0"/>
            <w:vAlign w:val="top"/>
          </w:tcPr>
          <w:p w14:paraId="66783F7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PBCA004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noWrap w:val="0"/>
            <w:vAlign w:val="top"/>
          </w:tcPr>
          <w:p w14:paraId="11FDF7C0"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  <w:t>普析生物</w:t>
            </w:r>
          </w:p>
        </w:tc>
      </w:tr>
    </w:tbl>
    <w:p w14:paraId="244482A6">
      <w:pPr>
        <w:pStyle w:val="2"/>
        <w:spacing w:before="156" w:beforeLines="50" w:beforeAutospacing="0" w:after="156" w:afterLines="50" w:afterAutospacing="0" w:line="420" w:lineRule="exact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</w:rPr>
        <w:t>3 实验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细胞系</w:t>
      </w:r>
    </w:p>
    <w:p w14:paraId="211AF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L929小鼠成纤维细胞</w:t>
      </w:r>
      <w:r>
        <w:rPr>
          <w:rFonts w:hint="eastAsia"/>
          <w:sz w:val="24"/>
        </w:rPr>
        <w:t xml:space="preserve">: </w:t>
      </w:r>
      <w:bookmarkStart w:id="5" w:name="OLE_LINK2"/>
      <w:r>
        <w:rPr>
          <w:rFonts w:hint="eastAsia"/>
          <w:sz w:val="24"/>
        </w:rPr>
        <w:t>MEM（含NEAA）</w:t>
      </w:r>
      <w:bookmarkEnd w:id="5"/>
      <w:r>
        <w:rPr>
          <w:rFonts w:hint="eastAsia"/>
          <w:sz w:val="24"/>
        </w:rPr>
        <w:t>＋10% FBS＋1% P/S</w:t>
      </w:r>
    </w:p>
    <w:p w14:paraId="0247C3E7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 w:cs="Times New Roman"/>
          <w:sz w:val="24"/>
          <w:szCs w:val="24"/>
        </w:rPr>
      </w:pPr>
      <w:bookmarkStart w:id="6" w:name="OLE_LINK1"/>
      <w:r>
        <w:rPr>
          <w:rFonts w:ascii="Times New Roman" w:hAnsi="Times New Roman" w:cs="Times New Roman"/>
          <w:sz w:val="24"/>
          <w:szCs w:val="24"/>
        </w:rPr>
        <w:t>3 实验方法</w:t>
      </w:r>
      <w:bookmarkEnd w:id="4"/>
    </w:p>
    <w:bookmarkEnd w:id="6"/>
    <w:p w14:paraId="55970AAF">
      <w:pPr>
        <w:pStyle w:val="2"/>
        <w:spacing w:before="156" w:beforeLines="50" w:beforeAutospacing="0" w:after="156" w:afterLines="50" w:afterAutospacing="0" w:line="420" w:lineRule="exact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3.1细胞复苏</w:t>
      </w:r>
    </w:p>
    <w:p w14:paraId="4EB71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3.1.1</w:t>
      </w:r>
      <w:r>
        <w:rPr>
          <w:rFonts w:hint="eastAsia"/>
          <w:sz w:val="24"/>
        </w:rPr>
        <w:t>从液氮中取出细胞冻存管 (注意：佩戴防爆管面具) ，快速将其置入 37℃水浴中解冻， 直至冻存管中无结晶，然后用 75%的酒精擦拭冻存管外壁；</w:t>
      </w:r>
    </w:p>
    <w:p w14:paraId="2325C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3.1.2</w:t>
      </w:r>
      <w:r>
        <w:rPr>
          <w:rFonts w:hint="eastAsia"/>
          <w:sz w:val="24"/>
        </w:rPr>
        <w:t>将冻存管中的细胞移至含 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完全培养基的 15m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离心管中，1000rpm 离心 5min；</w:t>
      </w:r>
    </w:p>
    <w:p w14:paraId="249FF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3.1.3</w:t>
      </w:r>
      <w:r>
        <w:rPr>
          <w:rFonts w:hint="eastAsia"/>
          <w:sz w:val="24"/>
        </w:rPr>
        <w:t>弃上清，沉淀用 5m</w:t>
      </w:r>
      <w:r>
        <w:rPr>
          <w:rFonts w:hint="eastAsia"/>
          <w:sz w:val="24"/>
          <w:lang w:eastAsia="zh-CN"/>
        </w:rPr>
        <w:t>L</w:t>
      </w:r>
      <w:r>
        <w:rPr>
          <w:rFonts w:hint="eastAsia"/>
          <w:sz w:val="24"/>
        </w:rPr>
        <w:t xml:space="preserve"> 完全培养基重悬，接种 T25 培养瓶，于 37℃,5%CO2 细胞培养箱中培养；</w:t>
      </w:r>
    </w:p>
    <w:p w14:paraId="5AFD1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sz w:val="24"/>
        </w:rPr>
      </w:pPr>
      <w:r>
        <w:rPr>
          <w:rFonts w:hint="eastAsia"/>
          <w:sz w:val="24"/>
          <w:lang w:val="en-US" w:eastAsia="zh-CN"/>
        </w:rPr>
        <w:t>3.1.4</w:t>
      </w:r>
      <w:r>
        <w:rPr>
          <w:rFonts w:hint="eastAsia"/>
          <w:sz w:val="24"/>
        </w:rPr>
        <w:t>第二天，换用新鲜完全培养基继续培养。</w:t>
      </w:r>
    </w:p>
    <w:p w14:paraId="69C4F783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3.2细胞传代</w:t>
      </w:r>
    </w:p>
    <w:p w14:paraId="51813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3.2.1细胞生长至覆盖培养瓶的 80%面积时，弃 T25 培养瓶中的培养液，用 PBS 清洗细胞一次：</w:t>
      </w:r>
    </w:p>
    <w:p w14:paraId="3716F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3.2.2添加 0.25%胰蛋白酶消化液约 1m</w:t>
      </w:r>
      <w:r>
        <w:rPr>
          <w:rFonts w:hint="eastAsia" w:cs="Times New Roman"/>
          <w:sz w:val="24"/>
          <w:lang w:val="en-US" w:eastAsia="zh-CN"/>
        </w:rPr>
        <w:t>L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至培养瓶中，倒置显微镜下观察，待细胞回缩变圆后加入 5m</w:t>
      </w:r>
      <w:r>
        <w:rPr>
          <w:rFonts w:hint="eastAsia" w:cs="Times New Roman"/>
          <w:sz w:val="24"/>
          <w:lang w:val="en-US" w:eastAsia="zh-CN"/>
        </w:rPr>
        <w:t>L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完全培养液终止消化，再轻轻吹打细胞使之脱落，然后将悬液转移至 15m</w:t>
      </w:r>
      <w:r>
        <w:rPr>
          <w:rFonts w:hint="eastAsia" w:cs="Times New Roman"/>
          <w:sz w:val="24"/>
          <w:lang w:val="en-US" w:eastAsia="zh-CN"/>
        </w:rPr>
        <w:t>L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离心管中，1000rpm 离心 5min；</w:t>
      </w:r>
    </w:p>
    <w:p w14:paraId="3759B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3.2.3弃上清，沉淀细胞用 1-2m</w:t>
      </w:r>
      <w:r>
        <w:rPr>
          <w:rFonts w:hint="eastAsia" w:cs="Times New Roman"/>
          <w:sz w:val="24"/>
          <w:lang w:val="en-US" w:eastAsia="zh-CN"/>
        </w:rPr>
        <w:t>L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完全培养基重悬，然后按 1:2 比例进行分瓶传代 (两个 T25)， 补充新的完全培养基至 5-8m</w:t>
      </w:r>
      <w:r>
        <w:rPr>
          <w:rFonts w:hint="eastAsia" w:cs="Times New Roman"/>
          <w:sz w:val="24"/>
          <w:lang w:val="en-US" w:eastAsia="zh-CN"/>
        </w:rPr>
        <w:t>L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/瓶，最后放入 37℃,5%CO2 细胞培养箱中培养；</w:t>
      </w:r>
    </w:p>
    <w:p w14:paraId="706CB195">
      <w:pPr>
        <w:pStyle w:val="3"/>
        <w:spacing w:before="120" w:after="240" w:line="420" w:lineRule="exact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>细胞冻存</w:t>
      </w:r>
    </w:p>
    <w:p w14:paraId="164A3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3.3.1细胞生长至覆盖培养瓶的80%面积时，弃 T25 培养瓶中的培养液，用 PBS 清洗细胞一次；</w:t>
      </w:r>
    </w:p>
    <w:p w14:paraId="22B9E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3.3.2添加 0.25%胰蛋白酶消化液约 1m</w:t>
      </w:r>
      <w:r>
        <w:rPr>
          <w:rFonts w:hint="eastAsia" w:cs="Times New Roman"/>
          <w:sz w:val="24"/>
          <w:lang w:val="en-US" w:eastAsia="zh-CN"/>
        </w:rPr>
        <w:t>L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至培养瓶中，倒置显微镜下观察，待细胞回缩变圆后加入 5m</w:t>
      </w:r>
      <w:r>
        <w:rPr>
          <w:rFonts w:hint="eastAsia" w:cs="Times New Roman"/>
          <w:sz w:val="24"/>
          <w:lang w:val="en-US" w:eastAsia="zh-CN"/>
        </w:rPr>
        <w:t>L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完全培养液终止消化，再轻轻吹打细胞使之脱落，然后将悬液转移至 15m</w:t>
      </w:r>
      <w:r>
        <w:rPr>
          <w:rFonts w:hint="eastAsia" w:cs="Times New Roman"/>
          <w:sz w:val="24"/>
          <w:lang w:val="en-US" w:eastAsia="zh-CN"/>
        </w:rPr>
        <w:t>L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离心管中，1000rpm 离心 5min；</w:t>
      </w:r>
    </w:p>
    <w:p w14:paraId="4E6BF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3.3.3弃上清，沉淀细胞加入 1m</w:t>
      </w:r>
      <w:r>
        <w:rPr>
          <w:rFonts w:hint="eastAsia" w:cs="Times New Roman"/>
          <w:sz w:val="24"/>
          <w:lang w:val="en-US" w:eastAsia="zh-CN"/>
        </w:rPr>
        <w:t>L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/支的无血清冻存液，混匀后加入冻存管中。 (如：冻一支，加入 1m</w:t>
      </w:r>
      <w:r>
        <w:rPr>
          <w:rFonts w:hint="eastAsia" w:cs="Times New Roman"/>
          <w:sz w:val="24"/>
          <w:lang w:val="en-US" w:eastAsia="zh-CN"/>
        </w:rPr>
        <w:t>L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无血清冻存液)</w:t>
      </w:r>
    </w:p>
    <w:p w14:paraId="3658D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3.3.4将冻存细胞直接放入－80℃冰箱即可；如后期要将细胞转入液氮罐中，需在-80℃冰箱存放 24 小时以上。</w:t>
      </w:r>
    </w:p>
    <w:p w14:paraId="3E1B9091">
      <w:pPr>
        <w:pStyle w:val="3"/>
        <w:spacing w:before="120" w:after="240" w:line="420" w:lineRule="exact"/>
        <w:rPr>
          <w:rFonts w:hint="eastAsia" w:ascii="Times New Roman" w:hAnsi="Times New Roman" w:eastAsia="宋体"/>
          <w:b/>
          <w:bCs/>
          <w:sz w:val="24"/>
          <w:szCs w:val="24"/>
          <w:lang w:eastAsia="zh-CN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3.</w:t>
      </w:r>
      <w:r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>细胞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凋亡</w:t>
      </w:r>
      <w:r>
        <w:rPr>
          <w:rFonts w:hint="eastAsia" w:ascii="Times New Roman" w:hAnsi="Times New Roman"/>
          <w:sz w:val="24"/>
          <w:szCs w:val="24"/>
        </w:rPr>
        <w:t>检测</w:t>
      </w:r>
      <w:r>
        <w:rPr>
          <w:rFonts w:hint="eastAsia" w:ascii="Times New Roman" w:hAnsi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一步法</w:t>
      </w:r>
      <w:r>
        <w:rPr>
          <w:rFonts w:hint="eastAsia" w:ascii="Times New Roman" w:hAnsi="Times New Roman"/>
          <w:sz w:val="24"/>
          <w:szCs w:val="24"/>
          <w:lang w:eastAsia="zh-CN"/>
        </w:rPr>
        <w:t>）</w:t>
      </w:r>
    </w:p>
    <w:p w14:paraId="61CF4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3.</w:t>
      </w:r>
      <w:r>
        <w:rPr>
          <w:rFonts w:hint="eastAsia" w:cs="Times New Roman"/>
          <w:sz w:val="24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.1 </w:t>
      </w:r>
      <w:r>
        <w:rPr>
          <w:rFonts w:hint="eastAsia" w:cs="Times New Roman"/>
          <w:sz w:val="24"/>
          <w:lang w:val="en-US" w:eastAsia="zh-CN"/>
        </w:rPr>
        <w:t>按实验方案处理细胞结束后，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小心收集细胞培养液到一离心管内备用，PBS洗涤贴壁细胞一次。用胰酶消化细胞，至细胞可以被轻轻用移液管或枪头吹打下来时，加入前面收集的细胞培养液，吹打下所有的贴壁细胞，并轻轻吹散细胞。</w:t>
      </w:r>
      <w:r>
        <w:rPr>
          <w:rFonts w:hint="eastAsia" w:cs="Times New Roman"/>
          <w:sz w:val="24"/>
          <w:lang w:val="en-US" w:eastAsia="zh-CN"/>
        </w:rPr>
        <w:t>备注：对于悬浮细胞，按实验方案处理细胞结束后，收集细胞悬液至离心管中。</w:t>
      </w:r>
    </w:p>
    <w:p w14:paraId="688D4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3.</w:t>
      </w:r>
      <w:r>
        <w:rPr>
          <w:rFonts w:hint="eastAsia" w:cs="Times New Roman"/>
          <w:sz w:val="24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.2 </w:t>
      </w:r>
      <w:r>
        <w:rPr>
          <w:rFonts w:hint="eastAsia" w:cs="Times New Roman"/>
          <w:sz w:val="24"/>
          <w:lang w:val="en-US" w:eastAsia="zh-CN"/>
        </w:rPr>
        <w:t>300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g离心5min</w:t>
      </w:r>
      <w:r>
        <w:rPr>
          <w:rFonts w:hint="eastAsia" w:cs="Times New Roman"/>
          <w:sz w:val="24"/>
          <w:lang w:val="en-US" w:eastAsia="zh-CN"/>
        </w:rPr>
        <w:t>，弃上清。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用PBS</w:t>
      </w:r>
      <w:r>
        <w:rPr>
          <w:rFonts w:hint="eastAsia" w:cs="Times New Roman"/>
          <w:sz w:val="24"/>
          <w:lang w:val="en-US" w:eastAsia="zh-CN"/>
        </w:rPr>
        <w:t>洗涤细胞一次，离心弃上清，轻轻重悬细胞并计数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。</w:t>
      </w:r>
    </w:p>
    <w:p w14:paraId="76F59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3.</w:t>
      </w:r>
      <w:r>
        <w:rPr>
          <w:rFonts w:hint="eastAsia" w:cs="Times New Roman"/>
          <w:sz w:val="24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.3 取</w:t>
      </w:r>
      <w:r>
        <w:rPr>
          <w:rFonts w:hint="eastAsia" w:cs="Times New Roman"/>
          <w:sz w:val="24"/>
          <w:lang w:val="en-US" w:eastAsia="zh-CN"/>
        </w:rPr>
        <w:t>1-5*10</w:t>
      </w:r>
      <w:r>
        <w:rPr>
          <w:rFonts w:hint="eastAsia" w:cs="Times New Roman"/>
          <w:sz w:val="24"/>
          <w:vertAlign w:val="superscript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重悬的细胞，</w:t>
      </w:r>
      <w:r>
        <w:rPr>
          <w:rFonts w:hint="eastAsia" w:cs="Times New Roman"/>
          <w:sz w:val="24"/>
          <w:lang w:val="en-US" w:eastAsia="zh-CN"/>
        </w:rPr>
        <w:t>300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g离心5min，弃上清</w:t>
      </w:r>
      <w:r>
        <w:rPr>
          <w:rFonts w:hint="eastAsia" w:cs="Times New Roman"/>
          <w:sz w:val="24"/>
          <w:lang w:val="en-US" w:eastAsia="zh-CN"/>
        </w:rPr>
        <w:t>。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用PBS</w:t>
      </w:r>
      <w:r>
        <w:rPr>
          <w:rFonts w:hint="eastAsia" w:cs="Times New Roman"/>
          <w:sz w:val="24"/>
          <w:lang w:val="en-US" w:eastAsia="zh-CN"/>
        </w:rPr>
        <w:t>洗涤细胞一次，离心弃上清，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加入</w:t>
      </w:r>
      <w:r>
        <w:rPr>
          <w:rFonts w:hint="eastAsia" w:cs="Times New Roman"/>
          <w:sz w:val="24"/>
          <w:lang w:val="en-US" w:eastAsia="zh-CN"/>
        </w:rPr>
        <w:t>500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µ</w:t>
      </w:r>
      <w:r>
        <w:rPr>
          <w:rFonts w:hint="eastAsia" w:cs="Times New Roman"/>
          <w:sz w:val="24"/>
          <w:lang w:val="en-US" w:eastAsia="zh-CN"/>
        </w:rPr>
        <w:t>L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</w:t>
      </w:r>
      <w:r>
        <w:rPr>
          <w:rFonts w:hint="eastAsia" w:cs="Times New Roman"/>
          <w:sz w:val="24"/>
          <w:lang w:val="en-US" w:eastAsia="zh-CN"/>
        </w:rPr>
        <w:t xml:space="preserve">稀释的1x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Annexin V</w:t>
      </w:r>
      <w:r>
        <w:rPr>
          <w:rFonts w:hint="eastAsia" w:cs="Times New Roman"/>
          <w:sz w:val="24"/>
          <w:lang w:val="en-US" w:eastAsia="zh-CN"/>
        </w:rPr>
        <w:t xml:space="preserve"> Binding Buffer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轻轻重悬细胞。</w:t>
      </w:r>
    </w:p>
    <w:p w14:paraId="79ED7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3.</w:t>
      </w:r>
      <w:r>
        <w:rPr>
          <w:rFonts w:hint="eastAsia" w:cs="Times New Roman"/>
          <w:sz w:val="24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.4 </w:t>
      </w:r>
      <w:r>
        <w:rPr>
          <w:rFonts w:hint="eastAsia" w:cs="Times New Roman"/>
          <w:sz w:val="24"/>
          <w:lang w:val="en-US" w:eastAsia="zh-CN"/>
        </w:rPr>
        <w:t>细胞悬液中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加入5µ</w:t>
      </w:r>
      <w:r>
        <w:rPr>
          <w:rFonts w:hint="eastAsia" w:cs="Times New Roman"/>
          <w:sz w:val="24"/>
          <w:lang w:val="en-US" w:eastAsia="zh-CN"/>
        </w:rPr>
        <w:t>L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Annexin V-FITC</w:t>
      </w:r>
      <w:r>
        <w:rPr>
          <w:rFonts w:hint="eastAsia" w:cs="Times New Roman"/>
          <w:sz w:val="24"/>
          <w:lang w:val="en-US" w:eastAsia="zh-CN"/>
        </w:rPr>
        <w:t xml:space="preserve"> Reagent和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5µ</w:t>
      </w:r>
      <w:r>
        <w:rPr>
          <w:rFonts w:hint="eastAsia" w:cs="Times New Roman"/>
          <w:sz w:val="24"/>
          <w:lang w:val="en-US" w:eastAsia="zh-CN"/>
        </w:rPr>
        <w:t>L PI Reagent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，轻轻</w:t>
      </w:r>
      <w:r>
        <w:rPr>
          <w:rFonts w:hint="eastAsia" w:cs="Times New Roman"/>
          <w:sz w:val="24"/>
          <w:lang w:val="en-US" w:eastAsia="zh-CN"/>
        </w:rPr>
        <w:t>涡旋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混匀。</w:t>
      </w:r>
    </w:p>
    <w:p w14:paraId="5C682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3.</w:t>
      </w:r>
      <w:r>
        <w:rPr>
          <w:rFonts w:hint="eastAsia" w:cs="Times New Roman"/>
          <w:sz w:val="24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.</w:t>
      </w:r>
      <w:r>
        <w:rPr>
          <w:rFonts w:hint="eastAsia" w:cs="Times New Roman"/>
          <w:sz w:val="24"/>
          <w:lang w:val="en-US" w:eastAsia="zh-CN"/>
        </w:rPr>
        <w:t>5室温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避光孵育15</w:t>
      </w:r>
      <w:r>
        <w:rPr>
          <w:rFonts w:hint="eastAsia" w:cs="Times New Roman"/>
          <w:sz w:val="24"/>
          <w:lang w:val="en-US" w:eastAsia="zh-CN"/>
        </w:rPr>
        <w:t>-20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min</w:t>
      </w:r>
      <w:r>
        <w:rPr>
          <w:rFonts w:hint="eastAsia" w:cs="Times New Roman"/>
          <w:sz w:val="24"/>
          <w:lang w:val="en-US" w:eastAsia="zh-CN"/>
        </w:rPr>
        <w:t>。</w:t>
      </w:r>
    </w:p>
    <w:p w14:paraId="00228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3.</w:t>
      </w:r>
      <w:r>
        <w:rPr>
          <w:rFonts w:hint="eastAsia" w:cs="Times New Roman"/>
          <w:sz w:val="24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.</w:t>
      </w:r>
      <w:r>
        <w:rPr>
          <w:rFonts w:hint="eastAsia" w:cs="Times New Roman"/>
          <w:sz w:val="24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</w:t>
      </w:r>
      <w:r>
        <w:rPr>
          <w:rFonts w:hint="eastAsia" w:cs="Times New Roman"/>
          <w:sz w:val="24"/>
          <w:lang w:val="en-US" w:eastAsia="zh-CN"/>
        </w:rPr>
        <w:t>立即上机检测。如不能及时检测，请于冰上避光静置并于1h内完成检测。</w:t>
      </w:r>
    </w:p>
    <w:p w14:paraId="43953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cs="Times New Roman"/>
          <w:sz w:val="24"/>
          <w:lang w:val="en-US" w:eastAsia="zh-CN"/>
        </w:rPr>
      </w:pPr>
      <w:r>
        <w:rPr>
          <w:rFonts w:hint="eastAsia" w:cs="Times New Roman"/>
          <w:sz w:val="24"/>
          <w:lang w:val="en-US" w:eastAsia="zh-CN"/>
        </w:rPr>
        <w:t>注：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染色结束后上机检测</w:t>
      </w:r>
      <w:r>
        <w:rPr>
          <w:rFonts w:hint="eastAsia" w:cs="Times New Roman"/>
          <w:sz w:val="24"/>
          <w:lang w:val="en-US" w:eastAsia="zh-CN"/>
        </w:rPr>
        <w:t>流式细胞仪检测时Annexin- V-FITC可用FITC通道，PI优先选择PerCP/Cy5.5通道，其次是ECD通道。</w:t>
      </w:r>
    </w:p>
    <w:p w14:paraId="5E501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cs="Times New Roman"/>
          <w:sz w:val="24"/>
          <w:lang w:val="en-US" w:eastAsia="zh-CN"/>
        </w:rPr>
      </w:pPr>
      <w:r>
        <w:rPr>
          <w:rFonts w:hint="eastAsia" w:cs="Times New Roman"/>
          <w:sz w:val="24"/>
          <w:lang w:val="en-US" w:eastAsia="zh-CN"/>
        </w:rPr>
        <w:t>注：具体操作步骤见附件说明书。</w:t>
      </w:r>
    </w:p>
    <w:p w14:paraId="18C72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3.</w:t>
      </w:r>
      <w:r>
        <w:rPr>
          <w:rFonts w:hint="eastAsia" w:cs="Times New Roman"/>
          <w:sz w:val="24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.</w:t>
      </w:r>
      <w:r>
        <w:rPr>
          <w:rFonts w:hint="eastAsia" w:cs="Times New Roman"/>
          <w:sz w:val="24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结果解读</w:t>
      </w:r>
    </w:p>
    <w:p w14:paraId="6CB394A6">
      <w:pPr>
        <w:spacing w:line="360" w:lineRule="auto"/>
        <w:jc w:val="center"/>
        <w:rPr>
          <w:sz w:val="24"/>
        </w:rPr>
      </w:pPr>
      <w:r>
        <w:rPr>
          <w:sz w:val="24"/>
        </w:rPr>
        <w:drawing>
          <wp:inline distT="0" distB="0" distL="0" distR="0">
            <wp:extent cx="2950210" cy="2783205"/>
            <wp:effectExtent l="0" t="0" r="8890" b="10795"/>
            <wp:docPr id="3" name="图片 3" descr="C:\Users\genink\Documents\WeChat Files\loveissweet305\FileStorage\Temp\1667971838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genink\Documents\WeChat Files\loveissweet305\FileStorage\Temp\166797183812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0210" cy="278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1E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Annexin-V 阴性-PI 阴性</w:t>
      </w:r>
      <w:r>
        <w:rPr>
          <w:rFonts w:hint="eastAsia" w:cs="Times New Roman"/>
          <w:sz w:val="24"/>
          <w:lang w:val="en-US"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左下象限</w:t>
      </w:r>
      <w:r>
        <w:rPr>
          <w:rFonts w:hint="eastAsia" w:cs="Times New Roman"/>
          <w:sz w:val="24"/>
          <w:lang w:val="en-US" w:eastAsia="zh-CN"/>
        </w:rPr>
        <w:t>）：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代表活细胞的比例。</w:t>
      </w:r>
    </w:p>
    <w:p w14:paraId="26F18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Annexin-V 阳性-PI 阴性</w:t>
      </w:r>
      <w:r>
        <w:rPr>
          <w:rFonts w:hint="eastAsia" w:cs="Times New Roman"/>
          <w:sz w:val="24"/>
          <w:lang w:val="en-US"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右下象限</w:t>
      </w:r>
      <w:r>
        <w:rPr>
          <w:rFonts w:hint="eastAsia" w:cs="Times New Roman"/>
          <w:sz w:val="24"/>
          <w:lang w:val="en-US" w:eastAsia="zh-CN"/>
        </w:rPr>
        <w:t>）：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代表凋亡早期的细胞比例。</w:t>
      </w:r>
    </w:p>
    <w:p w14:paraId="1998A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Annexin-V 阳性-PI 阳性</w:t>
      </w:r>
      <w:r>
        <w:rPr>
          <w:rFonts w:hint="eastAsia" w:cs="Times New Roman"/>
          <w:sz w:val="24"/>
          <w:lang w:val="en-US"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右上象限</w:t>
      </w:r>
      <w:r>
        <w:rPr>
          <w:rFonts w:hint="eastAsia" w:cs="Times New Roman"/>
          <w:sz w:val="24"/>
          <w:lang w:val="en-US" w:eastAsia="zh-CN"/>
        </w:rPr>
        <w:t>）：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代表凋亡晚期的细胞比例。</w:t>
      </w:r>
    </w:p>
    <w:p w14:paraId="79495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Annexin-V 阴性-PI 阳性</w:t>
      </w:r>
      <w:r>
        <w:rPr>
          <w:rFonts w:hint="eastAsia" w:cs="Times New Roman"/>
          <w:sz w:val="24"/>
          <w:lang w:val="en-US" w:eastAsia="zh-CN"/>
        </w:rPr>
        <w:t>（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左上象限</w:t>
      </w:r>
      <w:r>
        <w:rPr>
          <w:rFonts w:hint="eastAsia" w:cs="Times New Roman"/>
          <w:sz w:val="24"/>
          <w:lang w:val="en-US" w:eastAsia="zh-CN"/>
        </w:rPr>
        <w:t>）：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代表坏死的细胞和细胞碎片比例。</w:t>
      </w:r>
    </w:p>
    <w:p w14:paraId="47E5D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single" w:color="auto" w:sz="4" w:space="1"/>
        <w:right w:val="none" w:sz="0" w:space="0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D40B1">
    <w:pPr>
      <w:pStyle w:val="19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9490D">
    <w:pPr>
      <w:pStyle w:val="19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BC2D4">
    <w:pPr>
      <w:pStyle w:val="20"/>
      <w:jc w:val="left"/>
    </w:pPr>
    <w:r>
      <w:rPr>
        <w:rFonts w:hint="eastAsia"/>
      </w:rPr>
      <w:t xml:space="preserve"> </w:t>
    </w:r>
    <w:r>
      <w:t xml:space="preserve">                 </w:t>
    </w:r>
    <w:r>
      <w:rPr>
        <w:rFonts w:hint="eastAsia"/>
      </w:rPr>
      <w:t xml:space="preserve">                             </w:t>
    </w:r>
    <w:r>
      <w:t xml:space="preserve">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7B300">
    <w:pPr>
      <w:pStyle w:val="20"/>
      <w:jc w:val="left"/>
    </w:pPr>
    <w:r>
      <w:rPr>
        <w:rFonts w:hint="eastAsia"/>
      </w:rP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DD46D0"/>
    <w:multiLevelType w:val="multilevel"/>
    <w:tmpl w:val="73DD46D0"/>
    <w:lvl w:ilvl="0" w:tentative="0">
      <w:start w:val="1"/>
      <w:numFmt w:val="upperRoman"/>
      <w:lvlText w:val="%1."/>
      <w:lvlJc w:val="left"/>
      <w:pPr>
        <w:ind w:left="0" w:firstLine="0"/>
      </w:pPr>
    </w:lvl>
    <w:lvl w:ilvl="1" w:tentative="0">
      <w:start w:val="1"/>
      <w:numFmt w:val="upperLetter"/>
      <w:lvlText w:val="%2."/>
      <w:lvlJc w:val="left"/>
      <w:pPr>
        <w:ind w:left="851" w:firstLine="0"/>
      </w:pPr>
    </w:lvl>
    <w:lvl w:ilvl="2" w:tentative="0">
      <w:start w:val="1"/>
      <w:numFmt w:val="decimal"/>
      <w:lvlText w:val="%3."/>
      <w:lvlJc w:val="left"/>
      <w:pPr>
        <w:ind w:left="1701" w:firstLine="0"/>
      </w:pPr>
    </w:lvl>
    <w:lvl w:ilvl="3" w:tentative="0">
      <w:start w:val="1"/>
      <w:numFmt w:val="lowerLetter"/>
      <w:lvlText w:val="%4)"/>
      <w:lvlJc w:val="left"/>
      <w:pPr>
        <w:ind w:left="2551" w:firstLine="0"/>
      </w:pPr>
    </w:lvl>
    <w:lvl w:ilvl="4" w:tentative="0">
      <w:start w:val="1"/>
      <w:numFmt w:val="decimal"/>
      <w:pStyle w:val="6"/>
      <w:lvlText w:val="(%5)"/>
      <w:lvlJc w:val="left"/>
      <w:pPr>
        <w:ind w:left="3402" w:firstLine="0"/>
      </w:pPr>
    </w:lvl>
    <w:lvl w:ilvl="5" w:tentative="0">
      <w:start w:val="1"/>
      <w:numFmt w:val="lowerLetter"/>
      <w:pStyle w:val="7"/>
      <w:lvlText w:val="(%6)"/>
      <w:lvlJc w:val="left"/>
      <w:pPr>
        <w:ind w:left="4252" w:firstLine="0"/>
      </w:pPr>
    </w:lvl>
    <w:lvl w:ilvl="6" w:tentative="0">
      <w:start w:val="1"/>
      <w:numFmt w:val="lowerRoman"/>
      <w:pStyle w:val="8"/>
      <w:lvlText w:val="(%7)"/>
      <w:lvlJc w:val="left"/>
      <w:pPr>
        <w:ind w:left="5102" w:firstLine="0"/>
      </w:pPr>
    </w:lvl>
    <w:lvl w:ilvl="7" w:tentative="0">
      <w:start w:val="1"/>
      <w:numFmt w:val="lowerLetter"/>
      <w:pStyle w:val="9"/>
      <w:lvlText w:val="(%8)"/>
      <w:lvlJc w:val="left"/>
      <w:pPr>
        <w:ind w:left="5953" w:firstLine="0"/>
      </w:pPr>
    </w:lvl>
    <w:lvl w:ilvl="8" w:tentative="0">
      <w:start w:val="1"/>
      <w:numFmt w:val="lowerRoman"/>
      <w:pStyle w:val="10"/>
      <w:lvlText w:val="(%9)"/>
      <w:lvlJc w:val="left"/>
      <w:pPr>
        <w:ind w:left="6803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yYjRiOGRjZWJmYTdiY2UyMGMzNmQxMWU5YmMxZDAifQ=="/>
    <w:docVar w:name="KSO_WPS_MARK_KEY" w:val="d8752c58-c3ca-43de-8744-cc70f89b7278"/>
  </w:docVars>
  <w:rsids>
    <w:rsidRoot w:val="009C4B35"/>
    <w:rsid w:val="000047E1"/>
    <w:rsid w:val="00010B6C"/>
    <w:rsid w:val="00015217"/>
    <w:rsid w:val="00015547"/>
    <w:rsid w:val="00024C9B"/>
    <w:rsid w:val="00034E04"/>
    <w:rsid w:val="00054C35"/>
    <w:rsid w:val="00061D4D"/>
    <w:rsid w:val="00072D75"/>
    <w:rsid w:val="000730D0"/>
    <w:rsid w:val="00077C92"/>
    <w:rsid w:val="00081AF1"/>
    <w:rsid w:val="000856C8"/>
    <w:rsid w:val="00086878"/>
    <w:rsid w:val="000914E2"/>
    <w:rsid w:val="000A4743"/>
    <w:rsid w:val="000A5A01"/>
    <w:rsid w:val="000B746A"/>
    <w:rsid w:val="000B7ACA"/>
    <w:rsid w:val="000E694D"/>
    <w:rsid w:val="000E7A32"/>
    <w:rsid w:val="000F12B9"/>
    <w:rsid w:val="000F4AE3"/>
    <w:rsid w:val="00100C82"/>
    <w:rsid w:val="00101CEF"/>
    <w:rsid w:val="001042A3"/>
    <w:rsid w:val="00106B99"/>
    <w:rsid w:val="0011263C"/>
    <w:rsid w:val="00112AEF"/>
    <w:rsid w:val="00113F27"/>
    <w:rsid w:val="00125496"/>
    <w:rsid w:val="00127CD3"/>
    <w:rsid w:val="00130B1A"/>
    <w:rsid w:val="001370C1"/>
    <w:rsid w:val="00141954"/>
    <w:rsid w:val="00151E3E"/>
    <w:rsid w:val="00152B05"/>
    <w:rsid w:val="0015382D"/>
    <w:rsid w:val="001539BD"/>
    <w:rsid w:val="00165F61"/>
    <w:rsid w:val="0017173E"/>
    <w:rsid w:val="00172AC9"/>
    <w:rsid w:val="00176E73"/>
    <w:rsid w:val="0017723F"/>
    <w:rsid w:val="0018437D"/>
    <w:rsid w:val="00185BFB"/>
    <w:rsid w:val="00186AE2"/>
    <w:rsid w:val="0018730A"/>
    <w:rsid w:val="001908D1"/>
    <w:rsid w:val="001969ED"/>
    <w:rsid w:val="001A4EDA"/>
    <w:rsid w:val="001A7370"/>
    <w:rsid w:val="001B0982"/>
    <w:rsid w:val="001B4541"/>
    <w:rsid w:val="001C6CE8"/>
    <w:rsid w:val="001D20BC"/>
    <w:rsid w:val="001D4024"/>
    <w:rsid w:val="001D4FA0"/>
    <w:rsid w:val="001D613F"/>
    <w:rsid w:val="001E1DD7"/>
    <w:rsid w:val="001E7420"/>
    <w:rsid w:val="001F44D1"/>
    <w:rsid w:val="00200C4F"/>
    <w:rsid w:val="00202E17"/>
    <w:rsid w:val="00206040"/>
    <w:rsid w:val="00213F0F"/>
    <w:rsid w:val="002245E7"/>
    <w:rsid w:val="00230531"/>
    <w:rsid w:val="00232D52"/>
    <w:rsid w:val="0025004B"/>
    <w:rsid w:val="002564E2"/>
    <w:rsid w:val="00261141"/>
    <w:rsid w:val="00282DA5"/>
    <w:rsid w:val="00292861"/>
    <w:rsid w:val="00292EDE"/>
    <w:rsid w:val="002937B2"/>
    <w:rsid w:val="002C2F23"/>
    <w:rsid w:val="002C4559"/>
    <w:rsid w:val="002C5421"/>
    <w:rsid w:val="002D0B04"/>
    <w:rsid w:val="002D25B4"/>
    <w:rsid w:val="002D3BD4"/>
    <w:rsid w:val="002D3FD1"/>
    <w:rsid w:val="002E4F5C"/>
    <w:rsid w:val="002F0046"/>
    <w:rsid w:val="002F73FF"/>
    <w:rsid w:val="00304845"/>
    <w:rsid w:val="00305576"/>
    <w:rsid w:val="00305B32"/>
    <w:rsid w:val="003074CE"/>
    <w:rsid w:val="0030757A"/>
    <w:rsid w:val="0032234E"/>
    <w:rsid w:val="00330633"/>
    <w:rsid w:val="00332925"/>
    <w:rsid w:val="00353F6C"/>
    <w:rsid w:val="00353FDE"/>
    <w:rsid w:val="00357B6D"/>
    <w:rsid w:val="00360A3A"/>
    <w:rsid w:val="00361430"/>
    <w:rsid w:val="00363E07"/>
    <w:rsid w:val="00366AB8"/>
    <w:rsid w:val="00370352"/>
    <w:rsid w:val="00384B8D"/>
    <w:rsid w:val="00386F6F"/>
    <w:rsid w:val="003A4D80"/>
    <w:rsid w:val="003B2BE8"/>
    <w:rsid w:val="003C410C"/>
    <w:rsid w:val="003D34DD"/>
    <w:rsid w:val="003D503D"/>
    <w:rsid w:val="003D6B67"/>
    <w:rsid w:val="003E076F"/>
    <w:rsid w:val="003E1899"/>
    <w:rsid w:val="003F00D3"/>
    <w:rsid w:val="003F2597"/>
    <w:rsid w:val="00413349"/>
    <w:rsid w:val="00414EB0"/>
    <w:rsid w:val="00417F8D"/>
    <w:rsid w:val="00423627"/>
    <w:rsid w:val="004238EE"/>
    <w:rsid w:val="00437B99"/>
    <w:rsid w:val="0044196D"/>
    <w:rsid w:val="00443C6B"/>
    <w:rsid w:val="0045105D"/>
    <w:rsid w:val="004562AE"/>
    <w:rsid w:val="0045631C"/>
    <w:rsid w:val="00465394"/>
    <w:rsid w:val="0047286E"/>
    <w:rsid w:val="0047563C"/>
    <w:rsid w:val="00481089"/>
    <w:rsid w:val="00482237"/>
    <w:rsid w:val="00482F69"/>
    <w:rsid w:val="0049673E"/>
    <w:rsid w:val="004A7DE7"/>
    <w:rsid w:val="004B7B07"/>
    <w:rsid w:val="004C0C54"/>
    <w:rsid w:val="004C1B52"/>
    <w:rsid w:val="004C2638"/>
    <w:rsid w:val="004C7850"/>
    <w:rsid w:val="004D0798"/>
    <w:rsid w:val="004D6763"/>
    <w:rsid w:val="004E0C93"/>
    <w:rsid w:val="004E2B6B"/>
    <w:rsid w:val="004F08ED"/>
    <w:rsid w:val="004F2D35"/>
    <w:rsid w:val="005047DB"/>
    <w:rsid w:val="00512568"/>
    <w:rsid w:val="005157DC"/>
    <w:rsid w:val="00515FE0"/>
    <w:rsid w:val="00524D95"/>
    <w:rsid w:val="0052677A"/>
    <w:rsid w:val="00526CA5"/>
    <w:rsid w:val="00535529"/>
    <w:rsid w:val="005437B7"/>
    <w:rsid w:val="0056198A"/>
    <w:rsid w:val="00561C3A"/>
    <w:rsid w:val="00562286"/>
    <w:rsid w:val="00566247"/>
    <w:rsid w:val="0058245D"/>
    <w:rsid w:val="0058472A"/>
    <w:rsid w:val="00587F04"/>
    <w:rsid w:val="005C0F36"/>
    <w:rsid w:val="005C6FE6"/>
    <w:rsid w:val="005D51A7"/>
    <w:rsid w:val="005E16AF"/>
    <w:rsid w:val="005E525F"/>
    <w:rsid w:val="005E5C0D"/>
    <w:rsid w:val="005F0762"/>
    <w:rsid w:val="00601C0B"/>
    <w:rsid w:val="00605FB8"/>
    <w:rsid w:val="0060732B"/>
    <w:rsid w:val="0061249B"/>
    <w:rsid w:val="006163EB"/>
    <w:rsid w:val="00617CBB"/>
    <w:rsid w:val="00620086"/>
    <w:rsid w:val="00621382"/>
    <w:rsid w:val="00633D25"/>
    <w:rsid w:val="006351A2"/>
    <w:rsid w:val="006356A0"/>
    <w:rsid w:val="006448BA"/>
    <w:rsid w:val="0064533D"/>
    <w:rsid w:val="00647166"/>
    <w:rsid w:val="006477BF"/>
    <w:rsid w:val="00653E41"/>
    <w:rsid w:val="00666670"/>
    <w:rsid w:val="00666DB1"/>
    <w:rsid w:val="00670E54"/>
    <w:rsid w:val="00674934"/>
    <w:rsid w:val="00680E22"/>
    <w:rsid w:val="0068177A"/>
    <w:rsid w:val="00686F14"/>
    <w:rsid w:val="006924C9"/>
    <w:rsid w:val="00693DF7"/>
    <w:rsid w:val="00693E8B"/>
    <w:rsid w:val="006A037B"/>
    <w:rsid w:val="006A7633"/>
    <w:rsid w:val="006B0381"/>
    <w:rsid w:val="006B52D7"/>
    <w:rsid w:val="006C7AB6"/>
    <w:rsid w:val="006C7E91"/>
    <w:rsid w:val="006D5736"/>
    <w:rsid w:val="006D6A86"/>
    <w:rsid w:val="006E0516"/>
    <w:rsid w:val="006E157A"/>
    <w:rsid w:val="006E3B03"/>
    <w:rsid w:val="006E7B0A"/>
    <w:rsid w:val="006F4670"/>
    <w:rsid w:val="00700771"/>
    <w:rsid w:val="00701310"/>
    <w:rsid w:val="007303F7"/>
    <w:rsid w:val="0073241C"/>
    <w:rsid w:val="00735257"/>
    <w:rsid w:val="00737DA8"/>
    <w:rsid w:val="0074196C"/>
    <w:rsid w:val="00744AA3"/>
    <w:rsid w:val="00747550"/>
    <w:rsid w:val="00750BCE"/>
    <w:rsid w:val="00753693"/>
    <w:rsid w:val="007566A1"/>
    <w:rsid w:val="007673B6"/>
    <w:rsid w:val="007721AF"/>
    <w:rsid w:val="00786B06"/>
    <w:rsid w:val="00791982"/>
    <w:rsid w:val="007919B3"/>
    <w:rsid w:val="007925F2"/>
    <w:rsid w:val="007A165A"/>
    <w:rsid w:val="007A2AF2"/>
    <w:rsid w:val="007A4DAB"/>
    <w:rsid w:val="007A57D4"/>
    <w:rsid w:val="007B1AE4"/>
    <w:rsid w:val="007C1BBE"/>
    <w:rsid w:val="007C25DD"/>
    <w:rsid w:val="007C4FFE"/>
    <w:rsid w:val="007C6B0B"/>
    <w:rsid w:val="007D057F"/>
    <w:rsid w:val="007D24C9"/>
    <w:rsid w:val="007D47FD"/>
    <w:rsid w:val="007D4E42"/>
    <w:rsid w:val="007E7F21"/>
    <w:rsid w:val="007F278E"/>
    <w:rsid w:val="008010B7"/>
    <w:rsid w:val="00801C04"/>
    <w:rsid w:val="00806F82"/>
    <w:rsid w:val="00810971"/>
    <w:rsid w:val="00812267"/>
    <w:rsid w:val="00821CFD"/>
    <w:rsid w:val="008271A0"/>
    <w:rsid w:val="00827575"/>
    <w:rsid w:val="00833E0D"/>
    <w:rsid w:val="00840875"/>
    <w:rsid w:val="00855AC8"/>
    <w:rsid w:val="008578EC"/>
    <w:rsid w:val="008703A3"/>
    <w:rsid w:val="00870B63"/>
    <w:rsid w:val="0087433C"/>
    <w:rsid w:val="008906F0"/>
    <w:rsid w:val="008966B8"/>
    <w:rsid w:val="00897710"/>
    <w:rsid w:val="008A0AF1"/>
    <w:rsid w:val="008A2772"/>
    <w:rsid w:val="008A413E"/>
    <w:rsid w:val="008A79B0"/>
    <w:rsid w:val="008B02C7"/>
    <w:rsid w:val="008B3A1E"/>
    <w:rsid w:val="008C588D"/>
    <w:rsid w:val="008D09C9"/>
    <w:rsid w:val="008D11F7"/>
    <w:rsid w:val="008D1C73"/>
    <w:rsid w:val="008D229C"/>
    <w:rsid w:val="008D7567"/>
    <w:rsid w:val="008E0BE8"/>
    <w:rsid w:val="008E23FE"/>
    <w:rsid w:val="008F5F82"/>
    <w:rsid w:val="008F782B"/>
    <w:rsid w:val="00906CAD"/>
    <w:rsid w:val="00910CBC"/>
    <w:rsid w:val="00913A42"/>
    <w:rsid w:val="0091665F"/>
    <w:rsid w:val="00916FC3"/>
    <w:rsid w:val="009171B0"/>
    <w:rsid w:val="00922E83"/>
    <w:rsid w:val="00924FD2"/>
    <w:rsid w:val="00927DB4"/>
    <w:rsid w:val="009353E6"/>
    <w:rsid w:val="00937ECC"/>
    <w:rsid w:val="00950A84"/>
    <w:rsid w:val="00953EA2"/>
    <w:rsid w:val="00960CB6"/>
    <w:rsid w:val="0096100E"/>
    <w:rsid w:val="009631AB"/>
    <w:rsid w:val="00966B86"/>
    <w:rsid w:val="00967344"/>
    <w:rsid w:val="009711A8"/>
    <w:rsid w:val="00973F67"/>
    <w:rsid w:val="00985C1E"/>
    <w:rsid w:val="0099140A"/>
    <w:rsid w:val="009A3CCE"/>
    <w:rsid w:val="009A3E36"/>
    <w:rsid w:val="009A47AF"/>
    <w:rsid w:val="009A4CBB"/>
    <w:rsid w:val="009A6415"/>
    <w:rsid w:val="009A7CBC"/>
    <w:rsid w:val="009B28B3"/>
    <w:rsid w:val="009B2CA8"/>
    <w:rsid w:val="009B51D6"/>
    <w:rsid w:val="009C4B35"/>
    <w:rsid w:val="009C4FA0"/>
    <w:rsid w:val="009D48DE"/>
    <w:rsid w:val="009D5DB4"/>
    <w:rsid w:val="009E11C5"/>
    <w:rsid w:val="009E2C08"/>
    <w:rsid w:val="009F1AFD"/>
    <w:rsid w:val="009F7755"/>
    <w:rsid w:val="00A01EBB"/>
    <w:rsid w:val="00A05D75"/>
    <w:rsid w:val="00A108AD"/>
    <w:rsid w:val="00A11120"/>
    <w:rsid w:val="00A1198A"/>
    <w:rsid w:val="00A11CD6"/>
    <w:rsid w:val="00A13B39"/>
    <w:rsid w:val="00A13F1E"/>
    <w:rsid w:val="00A14DB7"/>
    <w:rsid w:val="00A208FA"/>
    <w:rsid w:val="00A27896"/>
    <w:rsid w:val="00A356FB"/>
    <w:rsid w:val="00A35D4A"/>
    <w:rsid w:val="00A41380"/>
    <w:rsid w:val="00A42190"/>
    <w:rsid w:val="00A45606"/>
    <w:rsid w:val="00A471EB"/>
    <w:rsid w:val="00A55243"/>
    <w:rsid w:val="00A63890"/>
    <w:rsid w:val="00A65E82"/>
    <w:rsid w:val="00A7127A"/>
    <w:rsid w:val="00A73088"/>
    <w:rsid w:val="00A859C5"/>
    <w:rsid w:val="00A9157C"/>
    <w:rsid w:val="00A925E1"/>
    <w:rsid w:val="00A94736"/>
    <w:rsid w:val="00AA153C"/>
    <w:rsid w:val="00AB76BC"/>
    <w:rsid w:val="00AC1011"/>
    <w:rsid w:val="00AC304B"/>
    <w:rsid w:val="00AC4B6E"/>
    <w:rsid w:val="00AD7477"/>
    <w:rsid w:val="00AE1B3D"/>
    <w:rsid w:val="00AE1EBD"/>
    <w:rsid w:val="00AE59E7"/>
    <w:rsid w:val="00AF73A2"/>
    <w:rsid w:val="00B04606"/>
    <w:rsid w:val="00B061EE"/>
    <w:rsid w:val="00B16A3B"/>
    <w:rsid w:val="00B17E50"/>
    <w:rsid w:val="00B20FA2"/>
    <w:rsid w:val="00B27ACB"/>
    <w:rsid w:val="00B309CB"/>
    <w:rsid w:val="00B3445C"/>
    <w:rsid w:val="00B451ED"/>
    <w:rsid w:val="00B51A15"/>
    <w:rsid w:val="00B547AF"/>
    <w:rsid w:val="00B63F2D"/>
    <w:rsid w:val="00B644BC"/>
    <w:rsid w:val="00B65C51"/>
    <w:rsid w:val="00B775C6"/>
    <w:rsid w:val="00B815BE"/>
    <w:rsid w:val="00B96675"/>
    <w:rsid w:val="00B969F8"/>
    <w:rsid w:val="00BA5336"/>
    <w:rsid w:val="00BB44C2"/>
    <w:rsid w:val="00BB50E2"/>
    <w:rsid w:val="00BC1E34"/>
    <w:rsid w:val="00BC669A"/>
    <w:rsid w:val="00BD2B4E"/>
    <w:rsid w:val="00BD2E60"/>
    <w:rsid w:val="00BE3A66"/>
    <w:rsid w:val="00BF2A89"/>
    <w:rsid w:val="00C051C2"/>
    <w:rsid w:val="00C06923"/>
    <w:rsid w:val="00C244F5"/>
    <w:rsid w:val="00C24E2A"/>
    <w:rsid w:val="00C35EF1"/>
    <w:rsid w:val="00C376B1"/>
    <w:rsid w:val="00C413B6"/>
    <w:rsid w:val="00C4643D"/>
    <w:rsid w:val="00C54A18"/>
    <w:rsid w:val="00C6303A"/>
    <w:rsid w:val="00C64660"/>
    <w:rsid w:val="00C73AAD"/>
    <w:rsid w:val="00C76F3D"/>
    <w:rsid w:val="00C76FFC"/>
    <w:rsid w:val="00C7743E"/>
    <w:rsid w:val="00C86ACA"/>
    <w:rsid w:val="00C9122E"/>
    <w:rsid w:val="00C938B2"/>
    <w:rsid w:val="00CA26F6"/>
    <w:rsid w:val="00CA73F4"/>
    <w:rsid w:val="00CB02A2"/>
    <w:rsid w:val="00CB0D6F"/>
    <w:rsid w:val="00CB2B6C"/>
    <w:rsid w:val="00CB36C2"/>
    <w:rsid w:val="00CB5296"/>
    <w:rsid w:val="00CC2D03"/>
    <w:rsid w:val="00CD4238"/>
    <w:rsid w:val="00CD6321"/>
    <w:rsid w:val="00CD7AD0"/>
    <w:rsid w:val="00CE2CE1"/>
    <w:rsid w:val="00CF44AC"/>
    <w:rsid w:val="00D014CF"/>
    <w:rsid w:val="00D11C23"/>
    <w:rsid w:val="00D3274A"/>
    <w:rsid w:val="00D32773"/>
    <w:rsid w:val="00D37A0A"/>
    <w:rsid w:val="00D40C51"/>
    <w:rsid w:val="00D4117B"/>
    <w:rsid w:val="00D41951"/>
    <w:rsid w:val="00D45E43"/>
    <w:rsid w:val="00D47BCC"/>
    <w:rsid w:val="00D57445"/>
    <w:rsid w:val="00D629DC"/>
    <w:rsid w:val="00D633E9"/>
    <w:rsid w:val="00D63FF7"/>
    <w:rsid w:val="00D64932"/>
    <w:rsid w:val="00D65833"/>
    <w:rsid w:val="00D67AE4"/>
    <w:rsid w:val="00D67AEE"/>
    <w:rsid w:val="00D70456"/>
    <w:rsid w:val="00D721CB"/>
    <w:rsid w:val="00D745E7"/>
    <w:rsid w:val="00D74832"/>
    <w:rsid w:val="00D7546C"/>
    <w:rsid w:val="00D75676"/>
    <w:rsid w:val="00D76326"/>
    <w:rsid w:val="00D772FF"/>
    <w:rsid w:val="00D9302C"/>
    <w:rsid w:val="00D94D01"/>
    <w:rsid w:val="00D953E5"/>
    <w:rsid w:val="00DA02A3"/>
    <w:rsid w:val="00DA0998"/>
    <w:rsid w:val="00DB7493"/>
    <w:rsid w:val="00DC28D3"/>
    <w:rsid w:val="00DC61FC"/>
    <w:rsid w:val="00DC7857"/>
    <w:rsid w:val="00DD180E"/>
    <w:rsid w:val="00DD2985"/>
    <w:rsid w:val="00DD442A"/>
    <w:rsid w:val="00DD65EE"/>
    <w:rsid w:val="00DE035B"/>
    <w:rsid w:val="00DE1671"/>
    <w:rsid w:val="00DE2131"/>
    <w:rsid w:val="00DE30AE"/>
    <w:rsid w:val="00DE5C67"/>
    <w:rsid w:val="00DF6F7A"/>
    <w:rsid w:val="00E02638"/>
    <w:rsid w:val="00E049F7"/>
    <w:rsid w:val="00E0654F"/>
    <w:rsid w:val="00E16419"/>
    <w:rsid w:val="00E43999"/>
    <w:rsid w:val="00E45490"/>
    <w:rsid w:val="00E45F5F"/>
    <w:rsid w:val="00E51E87"/>
    <w:rsid w:val="00E52098"/>
    <w:rsid w:val="00E658D8"/>
    <w:rsid w:val="00E675D3"/>
    <w:rsid w:val="00E80C41"/>
    <w:rsid w:val="00E8228C"/>
    <w:rsid w:val="00E83C36"/>
    <w:rsid w:val="00E86AA6"/>
    <w:rsid w:val="00EA578F"/>
    <w:rsid w:val="00EB5102"/>
    <w:rsid w:val="00EC2775"/>
    <w:rsid w:val="00ED0C01"/>
    <w:rsid w:val="00ED139E"/>
    <w:rsid w:val="00ED5AF0"/>
    <w:rsid w:val="00EF51D9"/>
    <w:rsid w:val="00EF6623"/>
    <w:rsid w:val="00F0183B"/>
    <w:rsid w:val="00F07C40"/>
    <w:rsid w:val="00F10A22"/>
    <w:rsid w:val="00F236EB"/>
    <w:rsid w:val="00F2419F"/>
    <w:rsid w:val="00F30732"/>
    <w:rsid w:val="00F30FDD"/>
    <w:rsid w:val="00F463CE"/>
    <w:rsid w:val="00F510D3"/>
    <w:rsid w:val="00F53407"/>
    <w:rsid w:val="00F73A15"/>
    <w:rsid w:val="00F765E1"/>
    <w:rsid w:val="00F837A1"/>
    <w:rsid w:val="00F84196"/>
    <w:rsid w:val="00F843D2"/>
    <w:rsid w:val="00F8667F"/>
    <w:rsid w:val="00F96BAB"/>
    <w:rsid w:val="00F971A3"/>
    <w:rsid w:val="00FA1AF6"/>
    <w:rsid w:val="00FA26B2"/>
    <w:rsid w:val="00FA643A"/>
    <w:rsid w:val="00FA785D"/>
    <w:rsid w:val="00FB666C"/>
    <w:rsid w:val="00FC186B"/>
    <w:rsid w:val="00FC33BC"/>
    <w:rsid w:val="00FC3F12"/>
    <w:rsid w:val="00FD49D4"/>
    <w:rsid w:val="00FE0309"/>
    <w:rsid w:val="00FE2BFB"/>
    <w:rsid w:val="00FE3F6B"/>
    <w:rsid w:val="00FE4169"/>
    <w:rsid w:val="00FF07AA"/>
    <w:rsid w:val="00FF57CE"/>
    <w:rsid w:val="00FF6366"/>
    <w:rsid w:val="00FF63A9"/>
    <w:rsid w:val="00FF6AE9"/>
    <w:rsid w:val="012A674C"/>
    <w:rsid w:val="01320FFA"/>
    <w:rsid w:val="01363B90"/>
    <w:rsid w:val="0137764C"/>
    <w:rsid w:val="016254A5"/>
    <w:rsid w:val="01874C6F"/>
    <w:rsid w:val="018F6A3E"/>
    <w:rsid w:val="01C91487"/>
    <w:rsid w:val="025F1961"/>
    <w:rsid w:val="026D1971"/>
    <w:rsid w:val="029C3581"/>
    <w:rsid w:val="02AA34DA"/>
    <w:rsid w:val="03003484"/>
    <w:rsid w:val="030B14DA"/>
    <w:rsid w:val="0372530F"/>
    <w:rsid w:val="03920FB0"/>
    <w:rsid w:val="03AF786B"/>
    <w:rsid w:val="03CA586F"/>
    <w:rsid w:val="04190224"/>
    <w:rsid w:val="044E4B96"/>
    <w:rsid w:val="04B22C3D"/>
    <w:rsid w:val="04C87F50"/>
    <w:rsid w:val="05134EE5"/>
    <w:rsid w:val="054D2E29"/>
    <w:rsid w:val="055F0667"/>
    <w:rsid w:val="057F31B7"/>
    <w:rsid w:val="05AB5871"/>
    <w:rsid w:val="06AD131D"/>
    <w:rsid w:val="06EE696F"/>
    <w:rsid w:val="06F67386"/>
    <w:rsid w:val="07C748B9"/>
    <w:rsid w:val="08256B22"/>
    <w:rsid w:val="0845146D"/>
    <w:rsid w:val="08563C39"/>
    <w:rsid w:val="08591DFB"/>
    <w:rsid w:val="0A9C22BC"/>
    <w:rsid w:val="0B793CC1"/>
    <w:rsid w:val="0B835865"/>
    <w:rsid w:val="0BE17DAD"/>
    <w:rsid w:val="0C4E634E"/>
    <w:rsid w:val="0C9350D9"/>
    <w:rsid w:val="0CDA1A66"/>
    <w:rsid w:val="0D1233EE"/>
    <w:rsid w:val="0D1B201E"/>
    <w:rsid w:val="0D4E492E"/>
    <w:rsid w:val="0D7731A8"/>
    <w:rsid w:val="0DFA2FCD"/>
    <w:rsid w:val="0E060087"/>
    <w:rsid w:val="0E522E35"/>
    <w:rsid w:val="0EB0273E"/>
    <w:rsid w:val="0ED24BFD"/>
    <w:rsid w:val="0EF32D02"/>
    <w:rsid w:val="0F8320C5"/>
    <w:rsid w:val="0F8940D1"/>
    <w:rsid w:val="0F8F1F6A"/>
    <w:rsid w:val="0FA95BB8"/>
    <w:rsid w:val="0FFB50CA"/>
    <w:rsid w:val="106D33EE"/>
    <w:rsid w:val="10A50316"/>
    <w:rsid w:val="10F40160"/>
    <w:rsid w:val="113B273E"/>
    <w:rsid w:val="120058EF"/>
    <w:rsid w:val="12312810"/>
    <w:rsid w:val="123C5477"/>
    <w:rsid w:val="124877DA"/>
    <w:rsid w:val="12643052"/>
    <w:rsid w:val="127579BF"/>
    <w:rsid w:val="12902348"/>
    <w:rsid w:val="1292638E"/>
    <w:rsid w:val="12C1118A"/>
    <w:rsid w:val="12C84D0B"/>
    <w:rsid w:val="12ED7A68"/>
    <w:rsid w:val="12F24746"/>
    <w:rsid w:val="1306256C"/>
    <w:rsid w:val="13B73B09"/>
    <w:rsid w:val="13CA1B57"/>
    <w:rsid w:val="13D50198"/>
    <w:rsid w:val="144C07BE"/>
    <w:rsid w:val="146E56F1"/>
    <w:rsid w:val="14DD3DB8"/>
    <w:rsid w:val="150734EA"/>
    <w:rsid w:val="156507C5"/>
    <w:rsid w:val="156A1844"/>
    <w:rsid w:val="1573435C"/>
    <w:rsid w:val="15741E2D"/>
    <w:rsid w:val="15B90181"/>
    <w:rsid w:val="16324F12"/>
    <w:rsid w:val="16DB2820"/>
    <w:rsid w:val="17CE5A3C"/>
    <w:rsid w:val="17E723A1"/>
    <w:rsid w:val="18922F97"/>
    <w:rsid w:val="199065ED"/>
    <w:rsid w:val="1A4756FF"/>
    <w:rsid w:val="1A7A7AB9"/>
    <w:rsid w:val="1B2359A6"/>
    <w:rsid w:val="1B270579"/>
    <w:rsid w:val="1B2E67C8"/>
    <w:rsid w:val="1C0453BB"/>
    <w:rsid w:val="1C3966AA"/>
    <w:rsid w:val="1DDC7CE5"/>
    <w:rsid w:val="1EF35BCD"/>
    <w:rsid w:val="1F221376"/>
    <w:rsid w:val="1F5C2EE2"/>
    <w:rsid w:val="1F6560A3"/>
    <w:rsid w:val="1F8B478C"/>
    <w:rsid w:val="20311ED5"/>
    <w:rsid w:val="20B04C8B"/>
    <w:rsid w:val="20ED3E4A"/>
    <w:rsid w:val="210E1EAD"/>
    <w:rsid w:val="217575A6"/>
    <w:rsid w:val="21A64856"/>
    <w:rsid w:val="222E14CF"/>
    <w:rsid w:val="22643237"/>
    <w:rsid w:val="226A6223"/>
    <w:rsid w:val="227B299A"/>
    <w:rsid w:val="22F85061"/>
    <w:rsid w:val="237B3F3E"/>
    <w:rsid w:val="23C42FB5"/>
    <w:rsid w:val="24163E27"/>
    <w:rsid w:val="24955598"/>
    <w:rsid w:val="24FF0369"/>
    <w:rsid w:val="256501A4"/>
    <w:rsid w:val="2586234B"/>
    <w:rsid w:val="25E70F14"/>
    <w:rsid w:val="26193F79"/>
    <w:rsid w:val="265D28C8"/>
    <w:rsid w:val="26634744"/>
    <w:rsid w:val="26A27411"/>
    <w:rsid w:val="26F635BD"/>
    <w:rsid w:val="270B716A"/>
    <w:rsid w:val="2749162A"/>
    <w:rsid w:val="28BC7FA5"/>
    <w:rsid w:val="29101568"/>
    <w:rsid w:val="292836C8"/>
    <w:rsid w:val="29673C78"/>
    <w:rsid w:val="297008E4"/>
    <w:rsid w:val="2993256D"/>
    <w:rsid w:val="2B200583"/>
    <w:rsid w:val="2B491E4F"/>
    <w:rsid w:val="2BAC19A0"/>
    <w:rsid w:val="2BD55811"/>
    <w:rsid w:val="2BEC0540"/>
    <w:rsid w:val="2BF35B49"/>
    <w:rsid w:val="2C7F74AF"/>
    <w:rsid w:val="2CC25C6E"/>
    <w:rsid w:val="2D1135CE"/>
    <w:rsid w:val="2D5B7F98"/>
    <w:rsid w:val="2D780631"/>
    <w:rsid w:val="2DC57D68"/>
    <w:rsid w:val="2DE91C00"/>
    <w:rsid w:val="2EA43279"/>
    <w:rsid w:val="2ED23C90"/>
    <w:rsid w:val="2F187769"/>
    <w:rsid w:val="2F6C4A39"/>
    <w:rsid w:val="2F76217B"/>
    <w:rsid w:val="2F7D193F"/>
    <w:rsid w:val="2F9059AB"/>
    <w:rsid w:val="2FB57C40"/>
    <w:rsid w:val="30085686"/>
    <w:rsid w:val="302C5D12"/>
    <w:rsid w:val="305750BC"/>
    <w:rsid w:val="307E1132"/>
    <w:rsid w:val="31CF0A99"/>
    <w:rsid w:val="32254DF5"/>
    <w:rsid w:val="325E7A40"/>
    <w:rsid w:val="327570EB"/>
    <w:rsid w:val="327635C1"/>
    <w:rsid w:val="32963F1B"/>
    <w:rsid w:val="332E33BE"/>
    <w:rsid w:val="337C24BC"/>
    <w:rsid w:val="33E11020"/>
    <w:rsid w:val="342D77E2"/>
    <w:rsid w:val="34347ADE"/>
    <w:rsid w:val="34A06465"/>
    <w:rsid w:val="34CB5A03"/>
    <w:rsid w:val="350607E9"/>
    <w:rsid w:val="35461292"/>
    <w:rsid w:val="35E1425C"/>
    <w:rsid w:val="35F64939"/>
    <w:rsid w:val="363C5EAA"/>
    <w:rsid w:val="36A95D18"/>
    <w:rsid w:val="37856310"/>
    <w:rsid w:val="379C5435"/>
    <w:rsid w:val="379D6CFC"/>
    <w:rsid w:val="38487F1B"/>
    <w:rsid w:val="38E81968"/>
    <w:rsid w:val="3911766E"/>
    <w:rsid w:val="3924445D"/>
    <w:rsid w:val="393D7874"/>
    <w:rsid w:val="3A105C85"/>
    <w:rsid w:val="3A57149E"/>
    <w:rsid w:val="3A91417F"/>
    <w:rsid w:val="3AC415F2"/>
    <w:rsid w:val="3B184888"/>
    <w:rsid w:val="3B274556"/>
    <w:rsid w:val="3B4772C8"/>
    <w:rsid w:val="3B9F0713"/>
    <w:rsid w:val="3BA743A8"/>
    <w:rsid w:val="3C2F36EA"/>
    <w:rsid w:val="3C90542E"/>
    <w:rsid w:val="3CC04054"/>
    <w:rsid w:val="3E5E62FB"/>
    <w:rsid w:val="3E817C97"/>
    <w:rsid w:val="3E98080B"/>
    <w:rsid w:val="3EB51C9E"/>
    <w:rsid w:val="3EEE560E"/>
    <w:rsid w:val="3FCB3DF0"/>
    <w:rsid w:val="3FFE6A89"/>
    <w:rsid w:val="400C13ED"/>
    <w:rsid w:val="40A51FF3"/>
    <w:rsid w:val="40A83799"/>
    <w:rsid w:val="410E5659"/>
    <w:rsid w:val="414820BE"/>
    <w:rsid w:val="419A1940"/>
    <w:rsid w:val="41CF1759"/>
    <w:rsid w:val="42945C85"/>
    <w:rsid w:val="42CC5D05"/>
    <w:rsid w:val="42CD089D"/>
    <w:rsid w:val="435E5C94"/>
    <w:rsid w:val="436819ED"/>
    <w:rsid w:val="43BF2BD7"/>
    <w:rsid w:val="43CB7ADA"/>
    <w:rsid w:val="43EC2A91"/>
    <w:rsid w:val="44A25B13"/>
    <w:rsid w:val="451F6AB7"/>
    <w:rsid w:val="45C156B5"/>
    <w:rsid w:val="462B081B"/>
    <w:rsid w:val="46306692"/>
    <w:rsid w:val="469C0631"/>
    <w:rsid w:val="46A73D2C"/>
    <w:rsid w:val="46A852A5"/>
    <w:rsid w:val="46DF5186"/>
    <w:rsid w:val="46E4135F"/>
    <w:rsid w:val="47BF2AC4"/>
    <w:rsid w:val="48313978"/>
    <w:rsid w:val="48793E9C"/>
    <w:rsid w:val="48A55DCE"/>
    <w:rsid w:val="48AC6E0E"/>
    <w:rsid w:val="49394A43"/>
    <w:rsid w:val="49937AC1"/>
    <w:rsid w:val="49DC59B2"/>
    <w:rsid w:val="49E97B8C"/>
    <w:rsid w:val="4A04603B"/>
    <w:rsid w:val="4A1066EF"/>
    <w:rsid w:val="4A1958B4"/>
    <w:rsid w:val="4A355546"/>
    <w:rsid w:val="4A834CE3"/>
    <w:rsid w:val="4ACC72D3"/>
    <w:rsid w:val="4AFF72D3"/>
    <w:rsid w:val="4B076BC2"/>
    <w:rsid w:val="4B133808"/>
    <w:rsid w:val="4C244994"/>
    <w:rsid w:val="4C4006AE"/>
    <w:rsid w:val="4C5A080E"/>
    <w:rsid w:val="4CA373F7"/>
    <w:rsid w:val="4CC226D1"/>
    <w:rsid w:val="4D570304"/>
    <w:rsid w:val="4DC82688"/>
    <w:rsid w:val="4E8B3A3F"/>
    <w:rsid w:val="4EA2155C"/>
    <w:rsid w:val="4F242068"/>
    <w:rsid w:val="4F2E0FAE"/>
    <w:rsid w:val="4F791D33"/>
    <w:rsid w:val="4F974CA4"/>
    <w:rsid w:val="4F9D431C"/>
    <w:rsid w:val="50373D1B"/>
    <w:rsid w:val="505C17AE"/>
    <w:rsid w:val="50952A2D"/>
    <w:rsid w:val="50B91B54"/>
    <w:rsid w:val="511D2587"/>
    <w:rsid w:val="51B7489D"/>
    <w:rsid w:val="52A06618"/>
    <w:rsid w:val="531104CD"/>
    <w:rsid w:val="53312A7E"/>
    <w:rsid w:val="53664917"/>
    <w:rsid w:val="5469520E"/>
    <w:rsid w:val="54793793"/>
    <w:rsid w:val="54E079A9"/>
    <w:rsid w:val="567B5B3D"/>
    <w:rsid w:val="569109E5"/>
    <w:rsid w:val="56B727C4"/>
    <w:rsid w:val="56C21858"/>
    <w:rsid w:val="56CA5D5C"/>
    <w:rsid w:val="56FB2557"/>
    <w:rsid w:val="571E0C9B"/>
    <w:rsid w:val="57464CA8"/>
    <w:rsid w:val="57B768FB"/>
    <w:rsid w:val="584E33C9"/>
    <w:rsid w:val="584E72AE"/>
    <w:rsid w:val="5868144E"/>
    <w:rsid w:val="587A3862"/>
    <w:rsid w:val="589F492D"/>
    <w:rsid w:val="591452A7"/>
    <w:rsid w:val="59637559"/>
    <w:rsid w:val="59A87844"/>
    <w:rsid w:val="59AA432C"/>
    <w:rsid w:val="59FB224A"/>
    <w:rsid w:val="5A165892"/>
    <w:rsid w:val="5A230046"/>
    <w:rsid w:val="5A364D83"/>
    <w:rsid w:val="5AA86E61"/>
    <w:rsid w:val="5AB6049E"/>
    <w:rsid w:val="5B264423"/>
    <w:rsid w:val="5C2F3D64"/>
    <w:rsid w:val="5C5454D4"/>
    <w:rsid w:val="5C8874BF"/>
    <w:rsid w:val="5CD12EB6"/>
    <w:rsid w:val="5CD252D1"/>
    <w:rsid w:val="5D557CB0"/>
    <w:rsid w:val="5DA113CF"/>
    <w:rsid w:val="5DD33B35"/>
    <w:rsid w:val="5DDF189D"/>
    <w:rsid w:val="5E0D12A1"/>
    <w:rsid w:val="5E166EE2"/>
    <w:rsid w:val="5E3D7091"/>
    <w:rsid w:val="5E7D2539"/>
    <w:rsid w:val="5F223D8E"/>
    <w:rsid w:val="5FD37487"/>
    <w:rsid w:val="5FDD5F9B"/>
    <w:rsid w:val="5FE3168D"/>
    <w:rsid w:val="5FFC375A"/>
    <w:rsid w:val="604C1C33"/>
    <w:rsid w:val="60716638"/>
    <w:rsid w:val="608300B3"/>
    <w:rsid w:val="60DE7C92"/>
    <w:rsid w:val="61100E90"/>
    <w:rsid w:val="613F5188"/>
    <w:rsid w:val="61D905F9"/>
    <w:rsid w:val="620F6680"/>
    <w:rsid w:val="623A1063"/>
    <w:rsid w:val="63AE6D64"/>
    <w:rsid w:val="643A1CDB"/>
    <w:rsid w:val="643A49DF"/>
    <w:rsid w:val="64932F18"/>
    <w:rsid w:val="64991CFE"/>
    <w:rsid w:val="65312125"/>
    <w:rsid w:val="65CA6D43"/>
    <w:rsid w:val="66A27F81"/>
    <w:rsid w:val="67263DC6"/>
    <w:rsid w:val="67FC202C"/>
    <w:rsid w:val="685625F4"/>
    <w:rsid w:val="685F4DAD"/>
    <w:rsid w:val="68684D3C"/>
    <w:rsid w:val="690A0DB2"/>
    <w:rsid w:val="695C6106"/>
    <w:rsid w:val="69DF766A"/>
    <w:rsid w:val="6ABF6769"/>
    <w:rsid w:val="6B5F273C"/>
    <w:rsid w:val="6BFD1C3F"/>
    <w:rsid w:val="6C23631E"/>
    <w:rsid w:val="6C724901"/>
    <w:rsid w:val="6D7C1EB0"/>
    <w:rsid w:val="6DA95961"/>
    <w:rsid w:val="6E095C38"/>
    <w:rsid w:val="6E621873"/>
    <w:rsid w:val="6E9C474A"/>
    <w:rsid w:val="6EB16C45"/>
    <w:rsid w:val="70283E4A"/>
    <w:rsid w:val="705F49E3"/>
    <w:rsid w:val="712C02C6"/>
    <w:rsid w:val="714601EF"/>
    <w:rsid w:val="7168470C"/>
    <w:rsid w:val="7221370E"/>
    <w:rsid w:val="72DD2D3F"/>
    <w:rsid w:val="737D3E5F"/>
    <w:rsid w:val="738B2279"/>
    <w:rsid w:val="738E15AE"/>
    <w:rsid w:val="73993E7B"/>
    <w:rsid w:val="73FD6CDF"/>
    <w:rsid w:val="74872E87"/>
    <w:rsid w:val="75341E1A"/>
    <w:rsid w:val="76222791"/>
    <w:rsid w:val="76560DF7"/>
    <w:rsid w:val="769A4BE4"/>
    <w:rsid w:val="77112958"/>
    <w:rsid w:val="77C1049E"/>
    <w:rsid w:val="77D25458"/>
    <w:rsid w:val="77E67A2B"/>
    <w:rsid w:val="7805502A"/>
    <w:rsid w:val="781400F4"/>
    <w:rsid w:val="78694E1B"/>
    <w:rsid w:val="78D37C01"/>
    <w:rsid w:val="78D57C3D"/>
    <w:rsid w:val="78FB3C04"/>
    <w:rsid w:val="790C6F8F"/>
    <w:rsid w:val="79140286"/>
    <w:rsid w:val="79D17C84"/>
    <w:rsid w:val="7A716D81"/>
    <w:rsid w:val="7AB22F49"/>
    <w:rsid w:val="7AFB2514"/>
    <w:rsid w:val="7B7A7697"/>
    <w:rsid w:val="7B9A7378"/>
    <w:rsid w:val="7BF42AA0"/>
    <w:rsid w:val="7C1D1542"/>
    <w:rsid w:val="7C353691"/>
    <w:rsid w:val="7C5711CD"/>
    <w:rsid w:val="7CAE7CF6"/>
    <w:rsid w:val="7D5B68BD"/>
    <w:rsid w:val="7DB24614"/>
    <w:rsid w:val="7DC93417"/>
    <w:rsid w:val="7E5E68F9"/>
    <w:rsid w:val="7EB279CE"/>
    <w:rsid w:val="7EE330FB"/>
    <w:rsid w:val="7F0E13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32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33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4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paragraph" w:styleId="6">
    <w:name w:val="heading 5"/>
    <w:basedOn w:val="1"/>
    <w:next w:val="1"/>
    <w:link w:val="35"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6"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mbria" w:hAnsi="Cambria" w:eastAsia="宋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37"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8"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" w:hAnsi="Cambria" w:eastAsia="宋体" w:cs="Times New Roman"/>
      <w:sz w:val="24"/>
      <w:szCs w:val="24"/>
    </w:rPr>
  </w:style>
  <w:style w:type="paragraph" w:styleId="10">
    <w:name w:val="heading 9"/>
    <w:basedOn w:val="1"/>
    <w:next w:val="1"/>
    <w:link w:val="39"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" w:hAnsi="Cambria" w:eastAsia="宋体" w:cs="Times New Roman"/>
      <w:szCs w:val="21"/>
    </w:rPr>
  </w:style>
  <w:style w:type="character" w:default="1" w:styleId="29">
    <w:name w:val="Default Paragraph Font"/>
    <w:unhideWhenUsed/>
    <w:qFormat/>
    <w:uiPriority w:val="1"/>
  </w:style>
  <w:style w:type="table" w:default="1" w:styleId="2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ind w:left="1260"/>
      <w:jc w:val="left"/>
    </w:pPr>
    <w:rPr>
      <w:sz w:val="18"/>
      <w:szCs w:val="18"/>
    </w:rPr>
  </w:style>
  <w:style w:type="paragraph" w:styleId="12">
    <w:name w:val="caption"/>
    <w:basedOn w:val="1"/>
    <w:next w:val="1"/>
    <w:qFormat/>
    <w:uiPriority w:val="35"/>
    <w:rPr>
      <w:rFonts w:ascii="Cambria" w:hAnsi="Cambria" w:eastAsia="黑体" w:cs="Times New Roman"/>
      <w:sz w:val="20"/>
      <w:szCs w:val="20"/>
    </w:rPr>
  </w:style>
  <w:style w:type="paragraph" w:styleId="13">
    <w:name w:val="annotation text"/>
    <w:basedOn w:val="1"/>
    <w:unhideWhenUsed/>
    <w:qFormat/>
    <w:uiPriority w:val="99"/>
    <w:pPr>
      <w:jc w:val="left"/>
    </w:pPr>
  </w:style>
  <w:style w:type="paragraph" w:styleId="14">
    <w:name w:val="toc 5"/>
    <w:basedOn w:val="1"/>
    <w:next w:val="1"/>
    <w:unhideWhenUsed/>
    <w:qFormat/>
    <w:uiPriority w:val="39"/>
    <w:pPr>
      <w:ind w:left="840"/>
      <w:jc w:val="left"/>
    </w:pPr>
    <w:rPr>
      <w:sz w:val="18"/>
      <w:szCs w:val="18"/>
    </w:rPr>
  </w:style>
  <w:style w:type="paragraph" w:styleId="15">
    <w:name w:val="toc 3"/>
    <w:basedOn w:val="1"/>
    <w:next w:val="1"/>
    <w:unhideWhenUsed/>
    <w:qFormat/>
    <w:uiPriority w:val="39"/>
    <w:pPr>
      <w:tabs>
        <w:tab w:val="right" w:leader="dot" w:pos="9736"/>
      </w:tabs>
      <w:ind w:left="420"/>
      <w:jc w:val="left"/>
    </w:pPr>
    <w:rPr>
      <w:i/>
      <w:iCs/>
      <w:sz w:val="20"/>
      <w:szCs w:val="20"/>
    </w:rPr>
  </w:style>
  <w:style w:type="paragraph" w:styleId="16">
    <w:name w:val="toc 8"/>
    <w:basedOn w:val="1"/>
    <w:next w:val="1"/>
    <w:unhideWhenUsed/>
    <w:qFormat/>
    <w:uiPriority w:val="39"/>
    <w:pPr>
      <w:ind w:left="1470"/>
      <w:jc w:val="left"/>
    </w:pPr>
    <w:rPr>
      <w:sz w:val="18"/>
      <w:szCs w:val="18"/>
    </w:rPr>
  </w:style>
  <w:style w:type="paragraph" w:styleId="17">
    <w:name w:val="Date"/>
    <w:basedOn w:val="1"/>
    <w:next w:val="1"/>
    <w:link w:val="40"/>
    <w:unhideWhenUsed/>
    <w:qFormat/>
    <w:uiPriority w:val="99"/>
    <w:pPr>
      <w:ind w:left="100" w:leftChars="2500"/>
    </w:pPr>
  </w:style>
  <w:style w:type="paragraph" w:styleId="18">
    <w:name w:val="Balloon Text"/>
    <w:basedOn w:val="1"/>
    <w:link w:val="41"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unhideWhenUsed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2">
    <w:name w:val="toc 4"/>
    <w:basedOn w:val="1"/>
    <w:next w:val="1"/>
    <w:unhideWhenUsed/>
    <w:qFormat/>
    <w:uiPriority w:val="39"/>
    <w:pPr>
      <w:ind w:left="630"/>
      <w:jc w:val="left"/>
    </w:pPr>
    <w:rPr>
      <w:sz w:val="18"/>
      <w:szCs w:val="18"/>
    </w:rPr>
  </w:style>
  <w:style w:type="paragraph" w:styleId="23">
    <w:name w:val="toc 6"/>
    <w:basedOn w:val="1"/>
    <w:next w:val="1"/>
    <w:unhideWhenUsed/>
    <w:qFormat/>
    <w:uiPriority w:val="39"/>
    <w:pPr>
      <w:ind w:left="1050"/>
      <w:jc w:val="left"/>
    </w:pPr>
    <w:rPr>
      <w:sz w:val="18"/>
      <w:szCs w:val="18"/>
    </w:rPr>
  </w:style>
  <w:style w:type="paragraph" w:styleId="24">
    <w:name w:val="toc 2"/>
    <w:basedOn w:val="1"/>
    <w:next w:val="1"/>
    <w:unhideWhenUsed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25">
    <w:name w:val="toc 9"/>
    <w:basedOn w:val="1"/>
    <w:next w:val="1"/>
    <w:unhideWhenUsed/>
    <w:qFormat/>
    <w:uiPriority w:val="39"/>
    <w:pPr>
      <w:ind w:left="1680"/>
      <w:jc w:val="left"/>
    </w:pPr>
    <w:rPr>
      <w:sz w:val="18"/>
      <w:szCs w:val="18"/>
    </w:rPr>
  </w:style>
  <w:style w:type="paragraph" w:styleId="2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28">
    <w:name w:val="Table Grid"/>
    <w:basedOn w:val="2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Hyperlink"/>
    <w:unhideWhenUsed/>
    <w:qFormat/>
    <w:uiPriority w:val="99"/>
    <w:rPr>
      <w:color w:val="0000FF"/>
      <w:u w:val="single"/>
    </w:rPr>
  </w:style>
  <w:style w:type="character" w:customStyle="1" w:styleId="31">
    <w:name w:val="标题 1 Char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32">
    <w:name w:val="标题 2 Char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33">
    <w:name w:val="标题 3 Char"/>
    <w:link w:val="4"/>
    <w:qFormat/>
    <w:uiPriority w:val="9"/>
    <w:rPr>
      <w:b/>
      <w:bCs/>
      <w:sz w:val="32"/>
      <w:szCs w:val="32"/>
    </w:rPr>
  </w:style>
  <w:style w:type="character" w:customStyle="1" w:styleId="34">
    <w:name w:val="标题 4 Char"/>
    <w:link w:val="5"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35">
    <w:name w:val="标题 5 Char"/>
    <w:link w:val="6"/>
    <w:semiHidden/>
    <w:qFormat/>
    <w:uiPriority w:val="9"/>
    <w:rPr>
      <w:b/>
      <w:bCs/>
      <w:sz w:val="28"/>
      <w:szCs w:val="28"/>
    </w:rPr>
  </w:style>
  <w:style w:type="character" w:customStyle="1" w:styleId="36">
    <w:name w:val="标题 6 Char"/>
    <w:link w:val="7"/>
    <w:semiHidden/>
    <w:qFormat/>
    <w:uiPriority w:val="9"/>
    <w:rPr>
      <w:rFonts w:ascii="Cambria" w:hAnsi="Cambria" w:eastAsia="宋体" w:cs="Times New Roman"/>
      <w:b/>
      <w:bCs/>
      <w:sz w:val="24"/>
      <w:szCs w:val="24"/>
    </w:rPr>
  </w:style>
  <w:style w:type="character" w:customStyle="1" w:styleId="37">
    <w:name w:val="标题 7 Char"/>
    <w:link w:val="8"/>
    <w:semiHidden/>
    <w:qFormat/>
    <w:uiPriority w:val="9"/>
    <w:rPr>
      <w:b/>
      <w:bCs/>
      <w:sz w:val="24"/>
      <w:szCs w:val="24"/>
    </w:rPr>
  </w:style>
  <w:style w:type="character" w:customStyle="1" w:styleId="38">
    <w:name w:val="标题 8 Char"/>
    <w:link w:val="9"/>
    <w:semiHidden/>
    <w:qFormat/>
    <w:uiPriority w:val="9"/>
    <w:rPr>
      <w:rFonts w:ascii="Cambria" w:hAnsi="Cambria" w:eastAsia="宋体" w:cs="Times New Roman"/>
      <w:sz w:val="24"/>
      <w:szCs w:val="24"/>
    </w:rPr>
  </w:style>
  <w:style w:type="character" w:customStyle="1" w:styleId="39">
    <w:name w:val="标题 9 Char"/>
    <w:link w:val="10"/>
    <w:semiHidden/>
    <w:qFormat/>
    <w:uiPriority w:val="9"/>
    <w:rPr>
      <w:rFonts w:ascii="Cambria" w:hAnsi="Cambria" w:eastAsia="宋体" w:cs="Times New Roman"/>
      <w:szCs w:val="21"/>
    </w:rPr>
  </w:style>
  <w:style w:type="character" w:customStyle="1" w:styleId="40">
    <w:name w:val="日期 Char"/>
    <w:link w:val="17"/>
    <w:semiHidden/>
    <w:qFormat/>
    <w:uiPriority w:val="99"/>
  </w:style>
  <w:style w:type="character" w:customStyle="1" w:styleId="41">
    <w:name w:val="批注框文本 Char"/>
    <w:link w:val="18"/>
    <w:semiHidden/>
    <w:qFormat/>
    <w:uiPriority w:val="99"/>
    <w:rPr>
      <w:sz w:val="18"/>
      <w:szCs w:val="18"/>
    </w:rPr>
  </w:style>
  <w:style w:type="character" w:customStyle="1" w:styleId="42">
    <w:name w:val="页脚 Char"/>
    <w:link w:val="19"/>
    <w:qFormat/>
    <w:uiPriority w:val="99"/>
    <w:rPr>
      <w:sz w:val="18"/>
      <w:szCs w:val="18"/>
    </w:rPr>
  </w:style>
  <w:style w:type="character" w:customStyle="1" w:styleId="43">
    <w:name w:val="页眉 Char"/>
    <w:link w:val="20"/>
    <w:qFormat/>
    <w:uiPriority w:val="99"/>
    <w:rPr>
      <w:sz w:val="18"/>
      <w:szCs w:val="18"/>
    </w:rPr>
  </w:style>
  <w:style w:type="character" w:customStyle="1" w:styleId="44">
    <w:name w:val="apple-converted-space"/>
    <w:qFormat/>
    <w:uiPriority w:val="99"/>
    <w:rPr>
      <w:rFonts w:cs="Times New Roman"/>
    </w:rPr>
  </w:style>
  <w:style w:type="paragraph" w:customStyle="1" w:styleId="45">
    <w:name w:val="TOC 标题1"/>
    <w:basedOn w:val="2"/>
    <w:next w:val="1"/>
    <w:unhideWhenUsed/>
    <w:qFormat/>
    <w:uiPriority w:val="3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customStyle="1" w:styleId="46">
    <w:name w:val="_Style 45"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7">
    <w:name w:val="List Paragraph"/>
    <w:basedOn w:val="1"/>
    <w:qFormat/>
    <w:uiPriority w:val="34"/>
    <w:pPr>
      <w:ind w:firstLine="420" w:firstLineChars="200"/>
    </w:pPr>
  </w:style>
  <w:style w:type="table" w:customStyle="1" w:styleId="48">
    <w:name w:val="浅色列表 - 强调文字颜色 11"/>
    <w:basedOn w:val="27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</Pages>
  <Words>1281</Words>
  <Characters>1826</Characters>
  <Lines>13</Lines>
  <Paragraphs>3</Paragraphs>
  <TotalTime>10</TotalTime>
  <ScaleCrop>false</ScaleCrop>
  <LinksUpToDate>false</LinksUpToDate>
  <CharactersWithSpaces>1949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2023-09-26T14:09:00Z</dcterms:created>
  <dc:creator>shangfei</dc:creator>
  <cp:lastModifiedBy>Administrator</cp:lastModifiedBy>
  <dcterms:modified xsi:type="dcterms:W3CDTF">2025-04-27T03:50:33Z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8B52ADDB7C114F879377DE0AE6B08D6F_13</vt:lpwstr>
  </property>
</Properties>
</file>